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  <w:lang w:val="en-US" w:eastAsia="zh-Hans"/>
        </w:rPr>
        <w:t>参数</w:t>
      </w: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用途</w:t>
      </w:r>
      <w:r>
        <w:rPr>
          <w:b/>
          <w:bCs/>
          <w:color w:val="000000"/>
          <w:highlight w:val="none"/>
        </w:rPr>
        <w:t>：</w:t>
      </w:r>
      <w:r>
        <w:rPr>
          <w:rFonts w:eastAsia="Times New Roman"/>
          <w:b/>
          <w:bCs/>
          <w:color w:val="000000"/>
          <w:highlight w:val="none"/>
        </w:rPr>
        <w:t xml:space="preserve"> </w:t>
      </w:r>
    </w:p>
    <w:p>
      <w:pPr>
        <w:numPr>
          <w:ilvl w:val="-1"/>
          <w:numId w:val="0"/>
        </w:numPr>
        <w:spacing w:line="360" w:lineRule="auto"/>
        <w:ind w:left="0" w:firstLine="420" w:firstLineChars="200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对患者表面肌电信号进行采集、分析和生物反馈训练，通过电刺激和肌电触发电刺激进行肌肉功能障碍的</w:t>
      </w:r>
      <w:r>
        <w:rPr>
          <w:rFonts w:hint="eastAsia"/>
          <w:color w:val="000000"/>
          <w:highlight w:val="none"/>
          <w:lang w:val="en-US" w:eastAsia="zh-Hans"/>
        </w:rPr>
        <w:t>辅助</w:t>
      </w:r>
      <w:r>
        <w:rPr>
          <w:color w:val="000000"/>
          <w:highlight w:val="none"/>
        </w:rPr>
        <w:t>治疗。</w:t>
      </w: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  <w:lang w:val="en-US" w:eastAsia="zh-Hans"/>
        </w:rPr>
        <w:t>产品主要技术参数</w:t>
      </w:r>
      <w:r>
        <w:rPr>
          <w:b/>
          <w:bCs/>
          <w:color w:val="000000"/>
          <w:highlight w:val="none"/>
        </w:rPr>
        <w:t>：</w:t>
      </w:r>
      <w:r>
        <w:rPr>
          <w:rFonts w:eastAsia="Times New Roman"/>
          <w:b/>
          <w:bCs/>
          <w:color w:val="000000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集成一体式便携主机</w:t>
      </w:r>
      <w:r>
        <w:rPr>
          <w:rFonts w:hint="eastAsia"/>
          <w:color w:val="000000"/>
          <w:highlight w:val="none"/>
          <w:lang w:val="en-US" w:eastAsia="zh-CN"/>
        </w:rPr>
        <w:t>，具有</w:t>
      </w:r>
      <w:r>
        <w:rPr>
          <w:color w:val="000000"/>
          <w:highlight w:val="none"/>
        </w:rPr>
        <w:t>抗电磁干扰性能。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主机重量</w:t>
      </w:r>
      <w:r>
        <w:rPr>
          <w:rFonts w:hint="eastAsia"/>
          <w:color w:val="000000"/>
          <w:highlight w:val="none"/>
          <w:lang w:eastAsia="zh-CN"/>
        </w:rPr>
        <w:t>轻盈</w:t>
      </w:r>
      <w:r>
        <w:rPr>
          <w:rFonts w:hint="eastAsia"/>
          <w:color w:val="000000"/>
          <w:highlight w:val="none"/>
        </w:rPr>
        <w:t>，轻便易转移使用，</w:t>
      </w:r>
      <w:r>
        <w:rPr>
          <w:rFonts w:hint="eastAsia"/>
          <w:color w:val="000000"/>
          <w:highlight w:val="none"/>
          <w:lang w:eastAsia="zh-CN"/>
        </w:rPr>
        <w:t>适用于</w:t>
      </w:r>
      <w:r>
        <w:rPr>
          <w:rFonts w:hint="eastAsia"/>
          <w:color w:val="000000"/>
          <w:highlight w:val="none"/>
        </w:rPr>
        <w:t>多场景。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屏幕尺寸</w:t>
      </w:r>
      <w:r>
        <w:rPr>
          <w:rFonts w:hint="eastAsia"/>
          <w:color w:val="000000"/>
          <w:highlight w:val="none"/>
          <w:lang w:eastAsia="zh-CN"/>
        </w:rPr>
        <w:t>大于</w:t>
      </w:r>
      <w:r>
        <w:rPr>
          <w:color w:val="000000"/>
          <w:highlight w:val="none"/>
        </w:rPr>
        <w:t>11英寸，高清液晶</w:t>
      </w:r>
      <w:r>
        <w:rPr>
          <w:rFonts w:hint="eastAsia"/>
          <w:color w:val="000000"/>
          <w:highlight w:val="none"/>
        </w:rPr>
        <w:t>触摸</w:t>
      </w:r>
      <w:r>
        <w:rPr>
          <w:color w:val="000000"/>
          <w:highlight w:val="none"/>
        </w:rPr>
        <w:t>屏。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可通过Wifi等方式联网和共享数据。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4个</w:t>
      </w:r>
      <w:r>
        <w:rPr>
          <w:rFonts w:hint="eastAsia"/>
          <w:color w:val="000000"/>
          <w:highlight w:val="none"/>
          <w:lang w:eastAsia="zh-CN"/>
        </w:rPr>
        <w:t>以上</w:t>
      </w:r>
      <w:r>
        <w:rPr>
          <w:rFonts w:hint="eastAsia"/>
          <w:color w:val="000000"/>
          <w:highlight w:val="none"/>
          <w:lang w:val="en-US" w:eastAsia="zh-Hans"/>
        </w:rPr>
        <w:t>电刺激</w:t>
      </w:r>
      <w:r>
        <w:rPr>
          <w:rFonts w:hint="default"/>
          <w:color w:val="000000"/>
          <w:highlight w:val="none"/>
          <w:lang w:eastAsia="zh-Hans"/>
        </w:rPr>
        <w:t>/</w:t>
      </w:r>
      <w:r>
        <w:rPr>
          <w:rFonts w:hint="eastAsia"/>
          <w:color w:val="000000"/>
          <w:highlight w:val="none"/>
          <w:lang w:val="en-US" w:eastAsia="zh-Hans"/>
        </w:rPr>
        <w:t>肌电采集独立</w:t>
      </w:r>
      <w:r>
        <w:rPr>
          <w:color w:val="000000"/>
          <w:highlight w:val="none"/>
        </w:rPr>
        <w:t>通道，</w:t>
      </w:r>
      <w:r>
        <w:rPr>
          <w:rFonts w:hint="eastAsia"/>
          <w:color w:val="000000"/>
          <w:highlight w:val="none"/>
        </w:rPr>
        <w:t>可采集信号，可输出</w:t>
      </w:r>
      <w:r>
        <w:rPr>
          <w:rFonts w:hint="eastAsia"/>
          <w:color w:val="000000"/>
          <w:highlight w:val="none"/>
          <w:lang w:val="en-US" w:eastAsia="zh-Hans"/>
        </w:rPr>
        <w:t>电</w:t>
      </w:r>
      <w:r>
        <w:rPr>
          <w:rFonts w:hint="eastAsia"/>
          <w:color w:val="000000"/>
          <w:highlight w:val="none"/>
        </w:rPr>
        <w:t>刺激。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有刺激输出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</w:rPr>
        <w:t>电极脱落指示</w:t>
      </w:r>
      <w:r>
        <w:rPr>
          <w:rFonts w:hint="eastAsia"/>
          <w:color w:val="000000"/>
          <w:highlight w:val="none"/>
          <w:lang w:eastAsia="zh-CN"/>
        </w:rPr>
        <w:t>。</w:t>
      </w:r>
      <w:r>
        <w:rPr>
          <w:rFonts w:hint="eastAsia"/>
          <w:color w:val="000000"/>
          <w:highlight w:val="none"/>
        </w:rPr>
        <w:t>机器上有刺激输出指示灯，电极脱落会自动暂停刺激输出</w:t>
      </w:r>
      <w:r>
        <w:rPr>
          <w:rFonts w:hint="default"/>
          <w:color w:val="000000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机器能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实现刺激电极脱落的实时智能判别，提高产品的安全性，并能提供证明文件</w:t>
      </w:r>
      <w:r>
        <w:rPr>
          <w:rFonts w:hint="eastAsia"/>
          <w:color w:val="000000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A/D采样率：≥8100Hz。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采样位数：≥16位。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肌电</w:t>
      </w:r>
      <w:r>
        <w:rPr>
          <w:color w:val="000000"/>
          <w:highlight w:val="none"/>
        </w:rPr>
        <w:t>通频带：≥20Hz～500Hz (-3dB)。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肌电测量范围：0</w:t>
      </w:r>
      <w:r>
        <w:rPr>
          <w:color w:val="000000"/>
          <w:highlight w:val="none"/>
        </w:rPr>
        <w:t>~2000</w:t>
      </w:r>
      <w:r>
        <w:rPr>
          <w:rFonts w:hint="eastAsia"/>
          <w:color w:val="000000"/>
          <w:highlight w:val="none"/>
        </w:rPr>
        <w:t>u</w:t>
      </w:r>
      <w:r>
        <w:rPr>
          <w:color w:val="000000"/>
          <w:highlight w:val="none"/>
        </w:rPr>
        <w:t>Vp</w:t>
      </w:r>
      <w:r>
        <w:rPr>
          <w:rFonts w:hint="eastAsia"/>
          <w:color w:val="000000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刺激电流强度：0-10</w:t>
      </w:r>
      <w:r>
        <w:rPr>
          <w:rFonts w:hint="eastAsia"/>
          <w:color w:val="000000"/>
          <w:highlight w:val="none"/>
        </w:rPr>
        <w:t>0</w:t>
      </w:r>
      <w:r>
        <w:rPr>
          <w:color w:val="000000"/>
          <w:highlight w:val="none"/>
        </w:rPr>
        <w:t>mA范围内可调。</w:t>
      </w:r>
      <w:r>
        <w:rPr>
          <w:rFonts w:eastAsia="Times New Roman"/>
          <w:color w:val="000000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电刺激脉冲宽度：在20-1000μs范围内可调。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电刺激脉冲频率：在1-250Hz范围内可调</w:t>
      </w:r>
      <w:r>
        <w:rPr>
          <w:rFonts w:hint="eastAsia"/>
          <w:color w:val="000000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差模输入阻抗≥10MΩ。</w:t>
      </w:r>
      <w:r>
        <w:rPr>
          <w:rFonts w:eastAsia="Times New Roman"/>
          <w:color w:val="000000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t>共模抑制比≥100dB。</w:t>
      </w:r>
      <w:r>
        <w:rPr>
          <w:rFonts w:eastAsia="Times New Roman"/>
          <w:color w:val="000000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治疗仪可输出单面波、双面波和交互波，并可输出多种组合治疗用波形。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数据和端口：支持有线以太网、无线通讯、蓝牙通讯等。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系统内置新手教程视频</w:t>
      </w:r>
      <w:r>
        <w:rPr>
          <w:rFonts w:hint="default"/>
          <w:color w:val="000000"/>
          <w:highlight w:val="none"/>
          <w:lang w:eastAsia="zh-Hans"/>
        </w:rPr>
        <w:t>，</w:t>
      </w:r>
      <w:r>
        <w:rPr>
          <w:rFonts w:hint="eastAsia"/>
          <w:color w:val="000000"/>
          <w:highlight w:val="none"/>
          <w:lang w:val="en-US" w:eastAsia="zh-Hans"/>
        </w:rPr>
        <w:t>方便治疗师随时了解设备操作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系统支持盆底评估</w:t>
      </w:r>
      <w:r>
        <w:rPr>
          <w:rFonts w:hint="default"/>
          <w:color w:val="000000"/>
          <w:highlight w:val="none"/>
          <w:lang w:eastAsia="zh-Hans"/>
        </w:rPr>
        <w:t>、</w:t>
      </w:r>
      <w:r>
        <w:rPr>
          <w:rFonts w:hint="eastAsia"/>
          <w:color w:val="000000"/>
          <w:highlight w:val="none"/>
          <w:lang w:val="en-US" w:eastAsia="zh-Hans"/>
        </w:rPr>
        <w:t>盆底治疗</w:t>
      </w:r>
      <w:r>
        <w:rPr>
          <w:rFonts w:hint="default"/>
          <w:color w:val="000000"/>
          <w:highlight w:val="none"/>
          <w:lang w:eastAsia="zh-Hans"/>
        </w:rPr>
        <w:t>、</w:t>
      </w:r>
      <w:r>
        <w:rPr>
          <w:rFonts w:hint="eastAsia"/>
          <w:color w:val="000000"/>
          <w:highlight w:val="none"/>
          <w:lang w:val="en-US" w:eastAsia="zh-Hans"/>
        </w:rPr>
        <w:t>产后康复功能模块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eastAsia="zh-CN"/>
        </w:rPr>
        <w:t>系统具有</w:t>
      </w:r>
      <w:r>
        <w:rPr>
          <w:rFonts w:hint="eastAsia"/>
          <w:color w:val="000000"/>
          <w:highlight w:val="none"/>
          <w:lang w:val="en-US" w:eastAsia="zh-CN"/>
        </w:rPr>
        <w:t>3</w:t>
      </w:r>
      <w:r>
        <w:rPr>
          <w:color w:val="000000"/>
          <w:highlight w:val="none"/>
        </w:rPr>
        <w:t>种</w:t>
      </w:r>
      <w:r>
        <w:rPr>
          <w:rFonts w:hint="eastAsia"/>
          <w:color w:val="000000"/>
          <w:highlight w:val="none"/>
          <w:lang w:eastAsia="zh-CN"/>
        </w:rPr>
        <w:t>或</w:t>
      </w:r>
      <w:r>
        <w:rPr>
          <w:rFonts w:hint="eastAsia"/>
          <w:color w:val="000000"/>
          <w:highlight w:val="none"/>
          <w:lang w:val="en-US" w:eastAsia="zh-CN"/>
        </w:rPr>
        <w:t>3种</w:t>
      </w:r>
      <w:r>
        <w:rPr>
          <w:rFonts w:hint="eastAsia"/>
          <w:color w:val="000000"/>
          <w:highlight w:val="none"/>
          <w:lang w:eastAsia="zh-CN"/>
        </w:rPr>
        <w:t>以上</w:t>
      </w:r>
      <w:r>
        <w:rPr>
          <w:rFonts w:hint="eastAsia"/>
          <w:color w:val="000000"/>
          <w:highlight w:val="none"/>
        </w:rPr>
        <w:t>评估方式</w:t>
      </w:r>
      <w:r>
        <w:rPr>
          <w:color w:val="000000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压力评估</w:t>
      </w:r>
      <w:r>
        <w:rPr>
          <w:rFonts w:hint="default"/>
          <w:color w:val="000000"/>
          <w:highlight w:val="none"/>
          <w:lang w:eastAsia="zh-Hans"/>
        </w:rPr>
        <w:t>具备</w:t>
      </w:r>
      <w:r>
        <w:rPr>
          <w:rFonts w:hint="eastAsia"/>
          <w:color w:val="000000"/>
          <w:highlight w:val="none"/>
          <w:lang w:val="en-US" w:eastAsia="zh-Hans"/>
        </w:rPr>
        <w:t>自动打气</w:t>
      </w:r>
      <w:r>
        <w:rPr>
          <w:rFonts w:hint="default"/>
          <w:color w:val="000000"/>
          <w:highlight w:val="none"/>
          <w:lang w:eastAsia="zh-Hans"/>
        </w:rPr>
        <w:t>，</w:t>
      </w:r>
      <w:r>
        <w:rPr>
          <w:rFonts w:hint="eastAsia"/>
          <w:color w:val="000000"/>
          <w:highlight w:val="none"/>
          <w:lang w:val="en-US" w:eastAsia="zh-Hans"/>
        </w:rPr>
        <w:t>并带有过压保护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支持无线网络打印评估报告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支持多种治疗模式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Hans"/>
        </w:rPr>
        <w:t>支持USB导入与导出患者数据</w:t>
      </w:r>
      <w:r>
        <w:rPr>
          <w:rFonts w:hint="default"/>
          <w:color w:val="000000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Hans"/>
        </w:rPr>
        <w:t>支持软件及固件升级</w:t>
      </w:r>
      <w:r>
        <w:rPr>
          <w:rFonts w:hint="default"/>
          <w:color w:val="auto"/>
          <w:highlight w:val="none"/>
          <w:lang w:eastAsia="zh-Hans"/>
        </w:rPr>
        <w:t>，</w:t>
      </w:r>
      <w:r>
        <w:rPr>
          <w:rFonts w:hint="eastAsia"/>
          <w:color w:val="auto"/>
          <w:highlight w:val="none"/>
          <w:lang w:val="en-US" w:eastAsia="zh-Hans"/>
        </w:rPr>
        <w:t>软件支持在线远程升级</w:t>
      </w:r>
      <w:r>
        <w:rPr>
          <w:rFonts w:hint="default"/>
          <w:color w:val="auto"/>
          <w:highlight w:val="none"/>
          <w:lang w:eastAsia="zh-Hans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Times New Roman"/>
          <w:b/>
          <w:bCs/>
          <w:color w:val="000000"/>
          <w:highlight w:val="none"/>
        </w:rPr>
      </w:pPr>
      <w:r>
        <w:rPr>
          <w:rFonts w:hint="eastAsia"/>
          <w:color w:val="auto"/>
          <w:highlight w:val="none"/>
          <w:lang w:val="en-US" w:eastAsia="zh-Hans"/>
        </w:rPr>
        <w:t>设备配置同厂注册的</w:t>
      </w:r>
      <w:r>
        <w:rPr>
          <w:rFonts w:hint="eastAsia"/>
          <w:color w:val="auto"/>
          <w:highlight w:val="none"/>
        </w:rPr>
        <w:t>一次性使用盆底功能训练探头以及兼容</w:t>
      </w:r>
      <w:r>
        <w:rPr>
          <w:rFonts w:hint="eastAsia"/>
          <w:color w:val="auto"/>
          <w:highlight w:val="none"/>
          <w:lang w:val="en-US" w:eastAsia="zh-Hans"/>
        </w:rPr>
        <w:t>理疗电极片</w:t>
      </w:r>
      <w:r>
        <w:rPr>
          <w:rFonts w:hint="default"/>
          <w:color w:val="auto"/>
          <w:highlight w:val="none"/>
          <w:lang w:eastAsia="zh-Hans"/>
        </w:rPr>
        <w:t>，</w:t>
      </w:r>
      <w:r>
        <w:rPr>
          <w:rFonts w:hint="eastAsia"/>
          <w:color w:val="auto"/>
          <w:highlight w:val="none"/>
          <w:lang w:val="en-US" w:eastAsia="zh-Hans"/>
        </w:rPr>
        <w:t>可保证产品</w:t>
      </w:r>
      <w:r>
        <w:rPr>
          <w:color w:val="auto"/>
          <w:highlight w:val="none"/>
        </w:rPr>
        <w:t>稳定性。</w:t>
      </w:r>
      <w:bookmarkStart w:id="0" w:name="_GoBack"/>
      <w:bookmarkEnd w:id="0"/>
    </w:p>
    <w:p>
      <w:pPr>
        <w:numPr>
          <w:numId w:val="0"/>
        </w:numPr>
        <w:spacing w:line="360" w:lineRule="auto"/>
        <w:ind w:leftChars="0"/>
        <w:jc w:val="left"/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000000"/>
    <w:rsid w:val="0FA364D6"/>
    <w:rsid w:val="2B525DA4"/>
    <w:rsid w:val="33F323F7"/>
    <w:rsid w:val="340E7584"/>
    <w:rsid w:val="3ACB5BA6"/>
    <w:rsid w:val="558C32BA"/>
    <w:rsid w:val="5A4306EA"/>
    <w:rsid w:val="5D745B03"/>
    <w:rsid w:val="748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2024-01-19T00:51:00Z</dcterms:created>
  <dc:creator>Administrator</dc:creator>
  <cp:lastModifiedBy>O~O</cp:lastModifiedBy>
  <dcterms:modified xsi:type="dcterms:W3CDTF">2024-01-29T08:06:32Z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81DFD7E54E304BEFBC48D559A17454F8_12</vt:lpwstr>
  </property>
</Properties>
</file>