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pPr>
      <w:r>
        <w:rPr>
          <w:rFonts w:hint="eastAsia" w:ascii="仿宋" w:hAnsi="仿宋" w:eastAsia="仿宋" w:cs="仿宋"/>
          <w:b/>
          <w:bCs/>
          <w:color w:val="000000"/>
          <w:kern w:val="0"/>
          <w:sz w:val="30"/>
          <w:szCs w:val="30"/>
          <w:lang w:val="en-US" w:eastAsia="zh-CN" w:bidi="ar"/>
        </w:rPr>
        <w:t>患者端电子签名</w:t>
      </w:r>
      <w:r>
        <w:rPr>
          <w:rFonts w:hint="eastAsia" w:ascii="仿宋" w:hAnsi="仿宋" w:eastAsia="仿宋" w:cs="仿宋"/>
          <w:b/>
          <w:bCs/>
          <w:color w:val="000000"/>
          <w:kern w:val="0"/>
          <w:sz w:val="30"/>
          <w:szCs w:val="30"/>
          <w:lang w:bidi="ar"/>
        </w:rPr>
        <w:t>服务</w:t>
      </w:r>
      <w:r>
        <w:rPr>
          <w:rFonts w:ascii="仿宋" w:hAnsi="仿宋" w:eastAsia="仿宋" w:cs="仿宋"/>
          <w:b/>
          <w:bCs/>
          <w:color w:val="000000"/>
          <w:kern w:val="0"/>
          <w:sz w:val="30"/>
          <w:szCs w:val="30"/>
          <w:lang w:bidi="ar"/>
        </w:rPr>
        <w:t>项目说明</w:t>
      </w:r>
    </w:p>
    <w:p>
      <w:pPr>
        <w:spacing w:line="360" w:lineRule="auto"/>
        <w:ind w:firstLine="420"/>
        <w:jc w:val="left"/>
      </w:pPr>
    </w:p>
    <w:p>
      <w:pPr>
        <w:widowControl/>
        <w:spacing w:line="360" w:lineRule="auto"/>
        <w:jc w:val="left"/>
      </w:pPr>
      <w:r>
        <w:rPr>
          <w:rFonts w:ascii="仿宋" w:hAnsi="仿宋" w:eastAsia="仿宋" w:cs="仿宋"/>
          <w:b/>
          <w:bCs/>
          <w:color w:val="000000"/>
          <w:kern w:val="0"/>
          <w:sz w:val="24"/>
          <w:lang w:bidi="ar"/>
        </w:rPr>
        <w:t>一、项目概况</w:t>
      </w:r>
    </w:p>
    <w:p>
      <w:pPr>
        <w:widowControl/>
        <w:spacing w:line="360" w:lineRule="auto"/>
        <w:ind w:firstLine="420"/>
        <w:jc w:val="left"/>
        <w:rPr>
          <w:rFonts w:ascii="仿宋" w:hAnsi="仿宋" w:eastAsia="仿宋" w:cs="仿宋"/>
          <w:color w:val="000000"/>
          <w:kern w:val="0"/>
          <w:sz w:val="24"/>
          <w:lang w:bidi="ar"/>
        </w:rPr>
      </w:pPr>
      <w:r>
        <w:rPr>
          <w:rFonts w:ascii="仿宋" w:hAnsi="仿宋" w:eastAsia="仿宋" w:cs="仿宋"/>
          <w:color w:val="000000"/>
          <w:kern w:val="0"/>
          <w:sz w:val="24"/>
          <w:lang w:bidi="ar"/>
        </w:rPr>
        <w:t>为实现</w:t>
      </w:r>
      <w:r>
        <w:rPr>
          <w:rFonts w:hint="eastAsia" w:ascii="仿宋" w:hAnsi="仿宋" w:eastAsia="仿宋" w:cs="仿宋"/>
          <w:color w:val="000000"/>
          <w:kern w:val="0"/>
          <w:sz w:val="24"/>
          <w:lang w:val="en-US" w:eastAsia="zh-CN" w:bidi="ar"/>
        </w:rPr>
        <w:t>患者端</w:t>
      </w:r>
      <w:r>
        <w:rPr>
          <w:rFonts w:ascii="仿宋" w:hAnsi="仿宋" w:eastAsia="仿宋" w:cs="仿宋"/>
          <w:color w:val="000000"/>
          <w:kern w:val="0"/>
          <w:sz w:val="24"/>
          <w:lang w:bidi="ar"/>
        </w:rPr>
        <w:t>电子病历无纸化的目标，保障医院医疗业务信息安全，依据</w:t>
      </w:r>
      <w:r>
        <w:rPr>
          <w:rFonts w:hint="eastAsia" w:ascii="仿宋" w:hAnsi="仿宋" w:eastAsia="仿宋" w:cs="仿宋"/>
          <w:color w:val="000000"/>
          <w:kern w:val="0"/>
          <w:sz w:val="24"/>
          <w:lang w:bidi="ar"/>
        </w:rPr>
        <w:t>《医疗机构病历管理规定(2013年版）》及相关标准规范要求，我院将建设</w:t>
      </w:r>
      <w:r>
        <w:rPr>
          <w:rFonts w:hint="eastAsia" w:ascii="仿宋" w:hAnsi="仿宋" w:eastAsia="仿宋" w:cs="仿宋"/>
          <w:color w:val="000000"/>
          <w:kern w:val="0"/>
          <w:sz w:val="24"/>
          <w:lang w:val="en-US" w:eastAsia="zh-CN" w:bidi="ar"/>
        </w:rPr>
        <w:t>患者端电子签名</w:t>
      </w:r>
      <w:r>
        <w:rPr>
          <w:rFonts w:hint="eastAsia" w:ascii="仿宋" w:hAnsi="仿宋" w:eastAsia="仿宋" w:cs="仿宋"/>
          <w:color w:val="000000"/>
          <w:kern w:val="0"/>
          <w:sz w:val="24"/>
          <w:lang w:bidi="ar"/>
        </w:rPr>
        <w:t>服务设施，从可信身份、可信行为、可信数据等方面为医院信息化提供整体应用安全保障，保证</w:t>
      </w:r>
      <w:r>
        <w:rPr>
          <w:rFonts w:hint="eastAsia" w:ascii="仿宋" w:hAnsi="仿宋" w:eastAsia="仿宋" w:cs="仿宋"/>
          <w:color w:val="000000"/>
          <w:kern w:val="0"/>
          <w:sz w:val="24"/>
          <w:lang w:val="en-US" w:eastAsia="zh-CN" w:bidi="ar"/>
        </w:rPr>
        <w:t>患者端</w:t>
      </w:r>
      <w:r>
        <w:rPr>
          <w:rFonts w:hint="eastAsia" w:ascii="仿宋" w:hAnsi="仿宋" w:eastAsia="仿宋" w:cs="仿宋"/>
          <w:color w:val="000000"/>
          <w:kern w:val="0"/>
          <w:sz w:val="24"/>
          <w:lang w:bidi="ar"/>
        </w:rPr>
        <w:t>电子病历的真实可信和合法有效性。</w:t>
      </w:r>
    </w:p>
    <w:p>
      <w:pPr>
        <w:pStyle w:val="4"/>
        <w:spacing w:before="0" w:line="360" w:lineRule="auto"/>
        <w:ind w:left="0"/>
        <w:rPr>
          <w:lang w:val="en-US"/>
        </w:rPr>
      </w:pPr>
      <w:r>
        <w:rPr>
          <w:rFonts w:hint="eastAsia"/>
          <w:lang w:val="en-US" w:eastAsia="zh-CN"/>
        </w:rPr>
        <w:t>二</w:t>
      </w:r>
      <w:r>
        <w:t>、</w:t>
      </w:r>
      <w:r>
        <w:rPr>
          <w:rFonts w:hint="eastAsia"/>
          <w:lang w:val="en-US"/>
        </w:rPr>
        <w:t>产品清单</w:t>
      </w:r>
    </w:p>
    <w:tbl>
      <w:tblPr>
        <w:tblStyle w:val="9"/>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301"/>
        <w:gridCol w:w="676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27" w:type="dxa"/>
            <w:vAlign w:val="center"/>
          </w:tcPr>
          <w:p>
            <w:pPr>
              <w:pStyle w:val="7"/>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01" w:type="dxa"/>
            <w:vAlign w:val="center"/>
          </w:tcPr>
          <w:p>
            <w:pPr>
              <w:pStyle w:val="7"/>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6765" w:type="dxa"/>
            <w:vAlign w:val="center"/>
          </w:tcPr>
          <w:p>
            <w:pPr>
              <w:pStyle w:val="7"/>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产品参数</w:t>
            </w:r>
          </w:p>
        </w:tc>
        <w:tc>
          <w:tcPr>
            <w:tcW w:w="809" w:type="dxa"/>
            <w:vAlign w:val="center"/>
          </w:tcPr>
          <w:p>
            <w:pPr>
              <w:pStyle w:val="7"/>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7"/>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01" w:type="dxa"/>
            <w:vAlign w:val="center"/>
          </w:tcPr>
          <w:p>
            <w:pPr>
              <w:pStyle w:val="7"/>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患者端手写签名</w:t>
            </w:r>
            <w:r>
              <w:rPr>
                <w:rFonts w:hint="eastAsia" w:ascii="仿宋" w:hAnsi="仿宋" w:eastAsia="仿宋" w:cs="仿宋"/>
                <w:color w:val="auto"/>
                <w:sz w:val="24"/>
                <w:szCs w:val="24"/>
                <w:highlight w:val="none"/>
              </w:rPr>
              <w:t>系统</w:t>
            </w:r>
          </w:p>
        </w:tc>
        <w:tc>
          <w:tcPr>
            <w:tcW w:w="6765" w:type="dxa"/>
            <w:vAlign w:val="center"/>
          </w:tcPr>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电子签章系统支持Web、pdf、ofd等方式签章应用；</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支持不同的单据模板生成待签名和签名后的电子单据，电子单据支持PDF及OFD版式格式；</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电子签章系统支持电子签章后文件的验证，可验证电子签章是否有效，查验内容是否被篡改。提供验证接口、验证客户端软件、第三方在线云验证平台等多种验证方式；</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 xml:space="preserve">电子签章系统支持签名图片定位，签名图片支持页码+坐标以及页码+关键字多种定位方式； </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电子签章系统签名后的电子单据文件可通过数据接口方式传递给业务系统、影像系统或直接存入磁盘电子单据阵列等存储设备上；</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电子签章系统支持将不同格式的业务数据转化为PDF版式的电子文件。支持从Html、json、Xml、图片等格式转化为PDF；</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电子印章、电子图形印章、实物印章的刻制审批、使用记录等均要求实行系统管理，满足日志的导出、查询；</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电子印章需支持识别码功能，通过识别码和交易日期能够查询该笔业务的相关信息；</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100个用户并发时，每个事务响应时间不超过3秒；</w:t>
            </w:r>
          </w:p>
          <w:p>
            <w:pPr>
              <w:pStyle w:val="7"/>
              <w:ind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sz w:val="24"/>
                <w:szCs w:val="24"/>
                <w:highlight w:val="none"/>
              </w:rPr>
              <w:t>电子签章系统提供的PC客户端插件需兼容Windows XP/7/8/10等操作系统，支持IE6/7/8/9/10/11、360、腾讯QQ、搜狗等浏览器；</w:t>
            </w:r>
          </w:p>
          <w:p>
            <w:pPr>
              <w:pStyle w:val="7"/>
              <w:ind w:firstLine="0" w:firstLineChars="0"/>
              <w:jc w:val="left"/>
              <w:rPr>
                <w:rFonts w:ascii="仿宋" w:hAnsi="仿宋" w:eastAsia="仿宋" w:cs="仿宋"/>
                <w:color w:val="FF0000"/>
                <w:sz w:val="24"/>
                <w:szCs w:val="24"/>
                <w:highlight w:val="none"/>
                <w:u w:val="single"/>
              </w:rPr>
            </w:pPr>
            <w:r>
              <w:rPr>
                <w:rFonts w:hint="eastAsia" w:ascii="仿宋" w:hAnsi="仿宋" w:eastAsia="仿宋" w:cs="仿宋"/>
                <w:color w:val="FF0000"/>
                <w:kern w:val="0"/>
                <w:sz w:val="24"/>
                <w:szCs w:val="24"/>
                <w:highlight w:val="none"/>
                <w:u w:val="single"/>
                <w:lang w:bidi="ar"/>
              </w:rPr>
              <w:t>△所投产品厂商须</w:t>
            </w:r>
            <w:r>
              <w:rPr>
                <w:rFonts w:hint="eastAsia" w:ascii="仿宋" w:hAnsi="仿宋" w:eastAsia="仿宋" w:cs="仿宋"/>
                <w:color w:val="FF0000"/>
                <w:sz w:val="24"/>
                <w:szCs w:val="24"/>
                <w:highlight w:val="none"/>
                <w:u w:val="single"/>
              </w:rPr>
              <w:t>具备国家密码管理局颁发的《商用密码产品认证证书》；</w:t>
            </w:r>
          </w:p>
          <w:p>
            <w:pPr>
              <w:pStyle w:val="7"/>
              <w:ind w:firstLine="0" w:firstLineChars="0"/>
              <w:jc w:val="left"/>
              <w:rPr>
                <w:rFonts w:ascii="仿宋" w:hAnsi="仿宋" w:eastAsia="仿宋" w:cs="仿宋"/>
                <w:color w:val="FF0000"/>
                <w:sz w:val="24"/>
                <w:szCs w:val="24"/>
                <w:highlight w:val="none"/>
                <w:u w:val="single"/>
              </w:rPr>
            </w:pPr>
            <w:r>
              <w:rPr>
                <w:rFonts w:hint="eastAsia" w:ascii="仿宋" w:hAnsi="仿宋" w:eastAsia="仿宋" w:cs="仿宋"/>
                <w:color w:val="FF0000"/>
                <w:kern w:val="0"/>
                <w:sz w:val="24"/>
                <w:szCs w:val="24"/>
                <w:highlight w:val="none"/>
                <w:u w:val="single"/>
                <w:lang w:bidi="ar"/>
              </w:rPr>
              <w:t>△所投产品厂商须</w:t>
            </w:r>
            <w:r>
              <w:rPr>
                <w:rFonts w:hint="eastAsia" w:ascii="仿宋" w:hAnsi="仿宋" w:eastAsia="仿宋" w:cs="仿宋"/>
                <w:color w:val="FF0000"/>
                <w:sz w:val="24"/>
                <w:szCs w:val="24"/>
                <w:highlight w:val="none"/>
                <w:u w:val="single"/>
              </w:rPr>
              <w:t>具备公安部颁发的《销售许可证》；</w:t>
            </w:r>
          </w:p>
          <w:p>
            <w:pPr>
              <w:pStyle w:val="7"/>
              <w:ind w:firstLine="0" w:firstLineChars="0"/>
              <w:jc w:val="left"/>
              <w:rPr>
                <w:rFonts w:ascii="仿宋" w:hAnsi="仿宋" w:eastAsia="仿宋" w:cs="仿宋"/>
                <w:color w:val="FF0000"/>
                <w:sz w:val="24"/>
                <w:szCs w:val="24"/>
                <w:highlight w:val="none"/>
                <w:u w:val="single"/>
              </w:rPr>
            </w:pPr>
            <w:r>
              <w:rPr>
                <w:rFonts w:hint="eastAsia" w:ascii="仿宋" w:hAnsi="仿宋" w:eastAsia="仿宋" w:cs="仿宋"/>
                <w:color w:val="FF0000"/>
                <w:kern w:val="0"/>
                <w:sz w:val="24"/>
                <w:szCs w:val="24"/>
                <w:highlight w:val="none"/>
                <w:u w:val="single"/>
                <w:lang w:bidi="ar"/>
              </w:rPr>
              <w:t>△所投产品厂商须</w:t>
            </w:r>
            <w:r>
              <w:rPr>
                <w:rFonts w:hint="eastAsia" w:ascii="仿宋" w:hAnsi="仿宋" w:eastAsia="仿宋" w:cs="仿宋"/>
                <w:color w:val="FF0000"/>
                <w:sz w:val="24"/>
                <w:szCs w:val="24"/>
                <w:highlight w:val="none"/>
                <w:u w:val="single"/>
              </w:rPr>
              <w:t>公安部颁发的检测报告；</w:t>
            </w:r>
          </w:p>
          <w:p>
            <w:pPr>
              <w:pStyle w:val="7"/>
              <w:ind w:firstLine="0" w:firstLineChars="0"/>
              <w:jc w:val="left"/>
              <w:rPr>
                <w:rFonts w:hint="eastAsia" w:ascii="仿宋" w:hAnsi="仿宋" w:eastAsia="仿宋" w:cs="仿宋"/>
                <w:color w:val="auto"/>
                <w:kern w:val="0"/>
                <w:sz w:val="24"/>
                <w:highlight w:val="none"/>
                <w:u w:val="single"/>
                <w:lang w:bidi="ar"/>
              </w:rPr>
            </w:pPr>
            <w:r>
              <w:rPr>
                <w:rFonts w:hint="eastAsia" w:ascii="仿宋" w:hAnsi="仿宋" w:eastAsia="仿宋" w:cs="仿宋"/>
                <w:color w:val="FF0000"/>
                <w:kern w:val="0"/>
                <w:sz w:val="24"/>
                <w:szCs w:val="24"/>
                <w:highlight w:val="none"/>
                <w:u w:val="single"/>
                <w:lang w:bidi="ar"/>
              </w:rPr>
              <w:t>△所投产品厂商须具备《计算机软件著作权登记证书》；</w:t>
            </w:r>
          </w:p>
        </w:tc>
        <w:tc>
          <w:tcPr>
            <w:tcW w:w="809" w:type="dxa"/>
            <w:vAlign w:val="center"/>
          </w:tcPr>
          <w:p>
            <w:pPr>
              <w:pStyle w:val="7"/>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7"/>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01" w:type="dxa"/>
            <w:vAlign w:val="center"/>
          </w:tcPr>
          <w:p>
            <w:pPr>
              <w:pStyle w:val="7"/>
              <w:ind w:firstLine="0" w:firstLineChars="0"/>
              <w:jc w:val="center"/>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10寸手写签名终端</w:t>
            </w:r>
          </w:p>
        </w:tc>
        <w:tc>
          <w:tcPr>
            <w:tcW w:w="6765" w:type="dxa"/>
            <w:vAlign w:val="center"/>
          </w:tcPr>
          <w:p>
            <w:pPr>
              <w:pStyle w:val="7"/>
              <w:numPr>
                <w:ilvl w:val="0"/>
                <w:numId w:val="1"/>
              </w:numPr>
              <w:ind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具备用户指纹采集模块和手写签名功能；</w:t>
            </w:r>
          </w:p>
          <w:p>
            <w:pPr>
              <w:pStyle w:val="7"/>
              <w:numPr>
                <w:ilvl w:val="0"/>
                <w:numId w:val="1"/>
              </w:numPr>
              <w:ind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支持电磁屏技术，配备电磁签字笔，支持无线方式；</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具备满意度调查功能；</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屏幕显示≥10寸，USB供电；</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设备分辨率≥1280*800；</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对比度：≥600:1；</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支持颜色：≥16.7M；</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具备USB、Displaylink等显示接口；</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触控方式：具备电磁感应式/指纹等功能；</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具备调用电子认证系统数字证书申请接口，传入患者姓名、身份证号、数字证书请求文件等信息的功能。</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具备将手写签字、指纹图片融合成电子签章，签署在待签署文件指定XY坐标位置或指定关键字位置的功能。</w:t>
            </w:r>
          </w:p>
          <w:p>
            <w:pPr>
              <w:pStyle w:val="7"/>
              <w:numPr>
                <w:ilvl w:val="0"/>
                <w:numId w:val="1"/>
              </w:numPr>
              <w:ind w:left="0" w:leftChars="0" w:firstLine="0" w:firstLineChars="0"/>
              <w:jc w:val="lef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提供ActiveX方式SDK接口，对接B/S、C/S架构业务系统集成。</w:t>
            </w:r>
          </w:p>
        </w:tc>
        <w:tc>
          <w:tcPr>
            <w:tcW w:w="809" w:type="dxa"/>
            <w:vAlign w:val="center"/>
          </w:tcPr>
          <w:p>
            <w:pPr>
              <w:pStyle w:val="7"/>
              <w:ind w:firstLine="0" w:firstLineChars="0"/>
              <w:jc w:val="center"/>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7"/>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01" w:type="dxa"/>
            <w:vAlign w:val="center"/>
          </w:tcPr>
          <w:p>
            <w:pPr>
              <w:pStyle w:val="7"/>
              <w:ind w:firstLine="0" w:firstLineChars="0"/>
              <w:jc w:val="center"/>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手写签名终端维护费</w:t>
            </w:r>
          </w:p>
        </w:tc>
        <w:tc>
          <w:tcPr>
            <w:tcW w:w="6765" w:type="dxa"/>
            <w:vAlign w:val="center"/>
          </w:tcPr>
          <w:p>
            <w:pPr>
              <w:widowControl/>
              <w:jc w:val="left"/>
              <w:rPr>
                <w:rFonts w:hint="eastAsia" w:ascii="仿宋" w:hAnsi="仿宋" w:eastAsia="仿宋" w:cs="仿宋"/>
                <w:color w:val="auto"/>
                <w:kern w:val="0"/>
                <w:sz w:val="24"/>
                <w:highlight w:val="none"/>
                <w:u w:val="single"/>
                <w:lang w:eastAsia="zh-CN" w:bidi="ar"/>
              </w:rPr>
            </w:pPr>
            <w:r>
              <w:rPr>
                <w:rFonts w:hint="eastAsia" w:ascii="仿宋" w:hAnsi="仿宋" w:eastAsia="仿宋" w:cs="仿宋"/>
                <w:color w:val="auto"/>
                <w:kern w:val="0"/>
                <w:sz w:val="24"/>
                <w:highlight w:val="none"/>
                <w:u w:val="none"/>
                <w:lang w:bidi="ar"/>
              </w:rPr>
              <w:t>为手写签名终端签名服务进行延续维护，一年一次</w:t>
            </w:r>
            <w:r>
              <w:rPr>
                <w:rFonts w:hint="eastAsia" w:ascii="仿宋" w:hAnsi="仿宋" w:eastAsia="仿宋" w:cs="仿宋"/>
                <w:color w:val="auto"/>
                <w:kern w:val="0"/>
                <w:sz w:val="24"/>
                <w:highlight w:val="none"/>
                <w:u w:val="none"/>
                <w:lang w:eastAsia="zh-CN" w:bidi="ar"/>
              </w:rPr>
              <w:t>。</w:t>
            </w:r>
          </w:p>
        </w:tc>
        <w:tc>
          <w:tcPr>
            <w:tcW w:w="809" w:type="dxa"/>
            <w:vAlign w:val="center"/>
          </w:tcPr>
          <w:p>
            <w:pPr>
              <w:pStyle w:val="7"/>
              <w:ind w:firstLine="0" w:firstLineChars="0"/>
              <w:jc w:val="center"/>
              <w:rPr>
                <w:rFonts w:hint="default" w:ascii="仿宋" w:hAnsi="仿宋" w:eastAsia="仿宋" w:cs="仿宋"/>
                <w:color w:val="auto"/>
                <w:sz w:val="24"/>
                <w:szCs w:val="24"/>
                <w:highlight w:val="yellow"/>
                <w:lang w:val="en-US"/>
              </w:rPr>
            </w:pPr>
            <w:r>
              <w:rPr>
                <w:rFonts w:hint="eastAsia" w:ascii="仿宋" w:hAnsi="仿宋" w:eastAsia="仿宋" w:cs="仿宋"/>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7"/>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01" w:type="dxa"/>
            <w:vAlign w:val="center"/>
          </w:tcPr>
          <w:p>
            <w:pPr>
              <w:pStyle w:val="7"/>
              <w:ind w:firstLine="0" w:firstLineChars="0"/>
              <w:jc w:val="center"/>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对接费</w:t>
            </w:r>
          </w:p>
        </w:tc>
        <w:tc>
          <w:tcPr>
            <w:tcW w:w="6765" w:type="dxa"/>
            <w:vAlign w:val="center"/>
          </w:tcPr>
          <w:p>
            <w:pPr>
              <w:widowControl/>
              <w:jc w:val="left"/>
              <w:rPr>
                <w:rFonts w:hint="default" w:ascii="仿宋" w:hAnsi="仿宋" w:eastAsia="仿宋" w:cs="仿宋"/>
                <w:color w:val="auto"/>
                <w:kern w:val="0"/>
                <w:sz w:val="24"/>
                <w:highlight w:val="none"/>
                <w:u w:val="none"/>
                <w:lang w:val="en-US" w:eastAsia="zh-CN" w:bidi="ar"/>
              </w:rPr>
            </w:pPr>
            <w:r>
              <w:rPr>
                <w:rFonts w:hint="eastAsia" w:ascii="仿宋" w:hAnsi="仿宋" w:eastAsia="仿宋" w:cs="仿宋"/>
                <w:color w:val="auto"/>
                <w:kern w:val="0"/>
                <w:sz w:val="24"/>
                <w:highlight w:val="none"/>
                <w:u w:val="none"/>
                <w:lang w:val="en-US" w:eastAsia="zh-CN" w:bidi="ar"/>
              </w:rPr>
              <w:t>系统接口对接封装费用</w:t>
            </w:r>
          </w:p>
        </w:tc>
        <w:tc>
          <w:tcPr>
            <w:tcW w:w="809" w:type="dxa"/>
            <w:vAlign w:val="center"/>
          </w:tcPr>
          <w:p>
            <w:pPr>
              <w:pStyle w:val="7"/>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bl>
    <w:p>
      <w:pPr>
        <w:widowControl/>
        <w:spacing w:line="360" w:lineRule="auto"/>
        <w:ind w:firstLine="420"/>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备注：</w:t>
      </w:r>
    </w:p>
    <w:p>
      <w:pPr>
        <w:widowControl/>
        <w:spacing w:line="360" w:lineRule="auto"/>
        <w:ind w:firstLine="420"/>
        <w:jc w:val="left"/>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项目报价清单中除包括软硬件报价外，需要后续缴纳年费的服务内容，投标方提供明确的年费报价，项目报价</w:t>
      </w:r>
      <w:bookmarkStart w:id="0" w:name="_GoBack"/>
      <w:bookmarkEnd w:id="0"/>
      <w:r>
        <w:rPr>
          <w:rFonts w:ascii="仿宋" w:hAnsi="仿宋" w:eastAsia="仿宋" w:cs="仿宋"/>
          <w:color w:val="000000"/>
          <w:kern w:val="0"/>
          <w:sz w:val="24"/>
          <w:lang w:bidi="ar"/>
        </w:rPr>
        <w:t>至少包含 1 年的年费。</w:t>
      </w:r>
    </w:p>
    <w:p>
      <w:pPr>
        <w:widowControl/>
        <w:spacing w:line="360" w:lineRule="auto"/>
        <w:ind w:firstLine="420"/>
        <w:jc w:val="left"/>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手写板、证书产品按项目进度供货，证书所用数量可根据实际需要在总数以内进行调整，年费时间按实际开始使用时间计算。项目验收时，实际产品使用数量没有达到合同数量的，按实际使用数量结算，后续所需以不超过合同价另行采购。</w:t>
      </w:r>
    </w:p>
    <w:p>
      <w:pPr>
        <w:pStyle w:val="7"/>
      </w:pPr>
    </w:p>
    <w:p>
      <w:pPr>
        <w:pStyle w:val="4"/>
        <w:spacing w:before="0" w:line="360" w:lineRule="auto"/>
        <w:ind w:left="0"/>
      </w:pPr>
      <w:r>
        <w:t>四、工期</w:t>
      </w:r>
    </w:p>
    <w:p>
      <w:pPr>
        <w:widowControl/>
        <w:spacing w:line="360" w:lineRule="auto"/>
        <w:ind w:firstLine="420"/>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合同签订后 </w:t>
      </w:r>
      <w:r>
        <w:rPr>
          <w:rFonts w:hint="eastAsia" w:ascii="仿宋" w:hAnsi="仿宋" w:eastAsia="仿宋" w:cs="仿宋"/>
          <w:color w:val="000000"/>
          <w:kern w:val="0"/>
          <w:sz w:val="24"/>
          <w:lang w:val="en-US" w:eastAsia="zh-CN" w:bidi="ar"/>
        </w:rPr>
        <w:t>3</w:t>
      </w:r>
      <w:r>
        <w:rPr>
          <w:rFonts w:ascii="仿宋" w:hAnsi="仿宋" w:eastAsia="仿宋" w:cs="仿宋"/>
          <w:color w:val="000000"/>
          <w:kern w:val="0"/>
          <w:sz w:val="24"/>
          <w:lang w:bidi="ar"/>
        </w:rPr>
        <w:t xml:space="preserve"> 个月内完成安装调试、启动运用，但由于不可抗力或采购人原因所导致的延迟则可顺延。</w:t>
      </w:r>
    </w:p>
    <w:p>
      <w:pPr>
        <w:pStyle w:val="4"/>
        <w:spacing w:before="2" w:line="360" w:lineRule="auto"/>
        <w:ind w:left="0"/>
      </w:pPr>
      <w:r>
        <w:t>五、维保期及售后服务</w:t>
      </w:r>
    </w:p>
    <w:p>
      <w:pPr>
        <w:widowControl/>
        <w:spacing w:line="360" w:lineRule="auto"/>
        <w:ind w:firstLine="420"/>
        <w:jc w:val="left"/>
        <w:rPr>
          <w:rFonts w:ascii="仿宋" w:hAnsi="仿宋" w:eastAsia="仿宋" w:cs="仿宋"/>
          <w:color w:val="000000"/>
          <w:kern w:val="0"/>
          <w:sz w:val="24"/>
          <w:lang w:bidi="ar"/>
        </w:rPr>
      </w:pPr>
      <w:r>
        <w:rPr>
          <w:rFonts w:ascii="仿宋" w:hAnsi="仿宋" w:eastAsia="仿宋" w:cs="仿宋"/>
          <w:color w:val="000000"/>
          <w:kern w:val="0"/>
          <w:sz w:val="24"/>
          <w:lang w:bidi="ar"/>
        </w:rPr>
        <w:t>所投标软硬件产品免费维保期不低于 1 年，自验收合格之日起算。</w:t>
      </w:r>
    </w:p>
    <w:p>
      <w:pPr>
        <w:widowControl/>
        <w:spacing w:line="360" w:lineRule="auto"/>
        <w:ind w:firstLine="420"/>
        <w:jc w:val="left"/>
        <w:rPr>
          <w:rFonts w:ascii="仿宋" w:hAnsi="仿宋" w:eastAsia="仿宋" w:cs="仿宋"/>
          <w:color w:val="000000"/>
          <w:kern w:val="0"/>
          <w:sz w:val="24"/>
          <w:lang w:bidi="ar"/>
        </w:rPr>
      </w:pPr>
      <w:r>
        <w:rPr>
          <w:rFonts w:ascii="仿宋" w:hAnsi="仿宋" w:eastAsia="仿宋" w:cs="仿宋"/>
          <w:color w:val="000000"/>
          <w:kern w:val="0"/>
          <w:sz w:val="24"/>
          <w:lang w:bidi="ar"/>
        </w:rPr>
        <w:t>提供 7x24 级别的技术支持服务，对于系统故障，要求提供快速响应机制，满足医院业务连续性要求。</w:t>
      </w:r>
    </w:p>
    <w:p>
      <w:pPr>
        <w:widowControl/>
        <w:spacing w:line="360" w:lineRule="auto"/>
        <w:ind w:firstLine="420"/>
        <w:jc w:val="left"/>
        <w:rPr>
          <w:rFonts w:ascii="仿宋" w:hAnsi="仿宋" w:eastAsia="仿宋" w:cs="仿宋"/>
          <w:color w:val="000000"/>
          <w:kern w:val="0"/>
          <w:sz w:val="24"/>
          <w:lang w:bidi="ar"/>
        </w:rPr>
      </w:pPr>
      <w:r>
        <w:rPr>
          <w:rFonts w:ascii="仿宋" w:hAnsi="仿宋" w:eastAsia="仿宋" w:cs="仿宋"/>
          <w:color w:val="000000"/>
          <w:kern w:val="0"/>
          <w:sz w:val="24"/>
          <w:lang w:bidi="ar"/>
        </w:rPr>
        <w:t>提供全面、灵活的服务支持方式和手段，包括不限于网站服务、热线支持、邮件支持、现场支持等。</w:t>
      </w:r>
    </w:p>
    <w:p>
      <w:pPr>
        <w:widowControl/>
        <w:spacing w:line="360" w:lineRule="auto"/>
        <w:ind w:firstLine="420"/>
        <w:jc w:val="left"/>
        <w:rPr>
          <w:rFonts w:ascii="仿宋" w:hAnsi="仿宋" w:eastAsia="仿宋" w:cs="仿宋"/>
          <w:color w:val="000000"/>
          <w:kern w:val="0"/>
          <w:sz w:val="24"/>
          <w:lang w:bidi="ar"/>
        </w:rPr>
        <w:sectPr>
          <w:pgSz w:w="11906" w:h="16838"/>
          <w:pgMar w:top="1440" w:right="1080" w:bottom="1440" w:left="1080" w:header="851" w:footer="992" w:gutter="0"/>
          <w:cols w:space="425" w:num="1"/>
          <w:docGrid w:type="lines" w:linePitch="312" w:charSpace="0"/>
        </w:sectPr>
      </w:pPr>
      <w:r>
        <w:rPr>
          <w:rFonts w:ascii="仿宋" w:hAnsi="仿宋" w:eastAsia="仿宋" w:cs="仿宋"/>
          <w:color w:val="000000"/>
          <w:kern w:val="0"/>
          <w:sz w:val="24"/>
          <w:lang w:bidi="ar"/>
        </w:rPr>
        <w:t>根据医院的业务特点和用户认知程度不同，提出系统而有效的培训方案。</w:t>
      </w:r>
    </w:p>
    <w:p>
      <w:pPr>
        <w:pStyle w:val="7"/>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60127"/>
    <w:multiLevelType w:val="singleLevel"/>
    <w:tmpl w:val="2D2601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DM5ZDkzOWU0YmVmYzE4MzJlYzcyYjM2MWJkNzYifQ=="/>
  </w:docVars>
  <w:rsids>
    <w:rsidRoot w:val="00DB2C32"/>
    <w:rsid w:val="004078BF"/>
    <w:rsid w:val="00564BAF"/>
    <w:rsid w:val="00DB2C32"/>
    <w:rsid w:val="01803FF7"/>
    <w:rsid w:val="01C42256"/>
    <w:rsid w:val="024A62E1"/>
    <w:rsid w:val="03045209"/>
    <w:rsid w:val="04016EBD"/>
    <w:rsid w:val="05BB272D"/>
    <w:rsid w:val="062849AA"/>
    <w:rsid w:val="06826B71"/>
    <w:rsid w:val="06A34072"/>
    <w:rsid w:val="08673E5C"/>
    <w:rsid w:val="098766D7"/>
    <w:rsid w:val="0A141254"/>
    <w:rsid w:val="0A93759F"/>
    <w:rsid w:val="0C853931"/>
    <w:rsid w:val="0DBE5944"/>
    <w:rsid w:val="0DCE6B40"/>
    <w:rsid w:val="0DD666EC"/>
    <w:rsid w:val="0DF50570"/>
    <w:rsid w:val="0E65475F"/>
    <w:rsid w:val="0ED01349"/>
    <w:rsid w:val="0F427A40"/>
    <w:rsid w:val="121B4BF4"/>
    <w:rsid w:val="13165988"/>
    <w:rsid w:val="15415E49"/>
    <w:rsid w:val="15A602E9"/>
    <w:rsid w:val="15C05042"/>
    <w:rsid w:val="179C6CD1"/>
    <w:rsid w:val="1B485956"/>
    <w:rsid w:val="1D8859CA"/>
    <w:rsid w:val="1DA82904"/>
    <w:rsid w:val="1E4D53B6"/>
    <w:rsid w:val="200A3A07"/>
    <w:rsid w:val="21505D92"/>
    <w:rsid w:val="21613AFB"/>
    <w:rsid w:val="24E76710"/>
    <w:rsid w:val="288B33D4"/>
    <w:rsid w:val="297A7E50"/>
    <w:rsid w:val="2A0B4F4C"/>
    <w:rsid w:val="2AB65CBE"/>
    <w:rsid w:val="2C5236AB"/>
    <w:rsid w:val="2D094CC7"/>
    <w:rsid w:val="2D210434"/>
    <w:rsid w:val="30CA2588"/>
    <w:rsid w:val="319A08D3"/>
    <w:rsid w:val="36473A40"/>
    <w:rsid w:val="38B02BE0"/>
    <w:rsid w:val="38D21036"/>
    <w:rsid w:val="3B0A5C93"/>
    <w:rsid w:val="3C3C0F95"/>
    <w:rsid w:val="3E377C66"/>
    <w:rsid w:val="3E46036D"/>
    <w:rsid w:val="3EC83B16"/>
    <w:rsid w:val="40892704"/>
    <w:rsid w:val="40C212C3"/>
    <w:rsid w:val="40C65F22"/>
    <w:rsid w:val="411E1A70"/>
    <w:rsid w:val="41285BF6"/>
    <w:rsid w:val="45053741"/>
    <w:rsid w:val="45680759"/>
    <w:rsid w:val="47EA5CC6"/>
    <w:rsid w:val="493A726F"/>
    <w:rsid w:val="4AC24D5B"/>
    <w:rsid w:val="4D4F3C6A"/>
    <w:rsid w:val="4D635E9F"/>
    <w:rsid w:val="4E8F2F01"/>
    <w:rsid w:val="4F006BB0"/>
    <w:rsid w:val="501122AC"/>
    <w:rsid w:val="50840A87"/>
    <w:rsid w:val="52021EE1"/>
    <w:rsid w:val="527601BE"/>
    <w:rsid w:val="56B310C2"/>
    <w:rsid w:val="57920F53"/>
    <w:rsid w:val="57FF1ACD"/>
    <w:rsid w:val="58CB7930"/>
    <w:rsid w:val="59860ABC"/>
    <w:rsid w:val="5AB67D0C"/>
    <w:rsid w:val="5BA2213E"/>
    <w:rsid w:val="5BCA48C5"/>
    <w:rsid w:val="5BF705DC"/>
    <w:rsid w:val="5CAE778C"/>
    <w:rsid w:val="5F452FCF"/>
    <w:rsid w:val="5FEF7F48"/>
    <w:rsid w:val="611834CF"/>
    <w:rsid w:val="61266AB3"/>
    <w:rsid w:val="61E57855"/>
    <w:rsid w:val="6308326A"/>
    <w:rsid w:val="65605411"/>
    <w:rsid w:val="66967370"/>
    <w:rsid w:val="67136C12"/>
    <w:rsid w:val="671604B0"/>
    <w:rsid w:val="693D3743"/>
    <w:rsid w:val="6DFF1D8F"/>
    <w:rsid w:val="6EC75FC3"/>
    <w:rsid w:val="71211AEC"/>
    <w:rsid w:val="713D590C"/>
    <w:rsid w:val="72960BBB"/>
    <w:rsid w:val="72D11E05"/>
    <w:rsid w:val="73DD4D99"/>
    <w:rsid w:val="7401441F"/>
    <w:rsid w:val="742E5DD1"/>
    <w:rsid w:val="762D1373"/>
    <w:rsid w:val="76B77460"/>
    <w:rsid w:val="76E02507"/>
    <w:rsid w:val="771057FC"/>
    <w:rsid w:val="77AD4519"/>
    <w:rsid w:val="77CF596F"/>
    <w:rsid w:val="784309DA"/>
    <w:rsid w:val="785E7D72"/>
    <w:rsid w:val="7A8F5C7F"/>
    <w:rsid w:val="7BF30969"/>
    <w:rsid w:val="7CB75805"/>
    <w:rsid w:val="7D0D15B6"/>
    <w:rsid w:val="7EC108AA"/>
    <w:rsid w:val="7F25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6"/>
    <w:basedOn w:val="1"/>
    <w:next w:val="1"/>
    <w:qFormat/>
    <w:uiPriority w:val="1"/>
    <w:pPr>
      <w:spacing w:before="1"/>
      <w:ind w:left="1660"/>
      <w:outlineLvl w:val="5"/>
    </w:pPr>
    <w:rPr>
      <w:rFonts w:ascii="仿宋" w:hAnsi="仿宋" w:eastAsia="仿宋" w:cs="仿宋"/>
      <w:b/>
      <w:bCs/>
      <w:sz w:val="24"/>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1"/>
    <w:rPr>
      <w:rFonts w:ascii="仿宋" w:hAnsi="仿宋" w:eastAsia="仿宋" w:cs="仿宋"/>
      <w:sz w:val="24"/>
      <w:lang w:val="zh-CN" w:bidi="zh-CN"/>
    </w:rPr>
  </w:style>
  <w:style w:type="paragraph" w:styleId="6">
    <w:name w:val="Body Text Indent"/>
    <w:basedOn w:val="1"/>
    <w:semiHidden/>
    <w:qFormat/>
    <w:uiPriority w:val="0"/>
    <w:pPr>
      <w:ind w:firstLine="567"/>
    </w:pPr>
  </w:style>
  <w:style w:type="paragraph" w:styleId="7">
    <w:name w:val="Body Text First Indent 2"/>
    <w:basedOn w:val="6"/>
    <w:qFormat/>
    <w:uiPriority w:val="99"/>
    <w:pPr>
      <w:ind w:firstLine="420" w:firstLineChars="200"/>
    </w:pPr>
    <w:rPr>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000000"/>
      <w:u w:val="none"/>
    </w:rPr>
  </w:style>
  <w:style w:type="character" w:styleId="12">
    <w:name w:val="Hyperlink"/>
    <w:basedOn w:val="10"/>
    <w:qFormat/>
    <w:uiPriority w:val="0"/>
    <w:rPr>
      <w:color w:val="000000"/>
      <w:u w:val="none"/>
    </w:rPr>
  </w:style>
  <w:style w:type="paragraph" w:styleId="13">
    <w:name w:val="List Paragraph"/>
    <w:basedOn w:val="1"/>
    <w:qFormat/>
    <w:uiPriority w:val="1"/>
    <w:pPr>
      <w:spacing w:before="1"/>
      <w:ind w:left="558" w:firstLine="480"/>
    </w:pPr>
    <w:rPr>
      <w:rFonts w:ascii="仿宋" w:hAnsi="仿宋" w:eastAsia="仿宋" w:cs="仿宋"/>
      <w:lang w:val="zh-CN" w:bidi="zh-CN"/>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5">
    <w:name w:val="Table Paragraph"/>
    <w:basedOn w:val="1"/>
    <w:qFormat/>
    <w:uiPriority w:val="1"/>
  </w:style>
  <w:style w:type="character" w:customStyle="1" w:styleId="16">
    <w:name w:val="title_span2"/>
    <w:basedOn w:val="10"/>
    <w:qFormat/>
    <w:uiPriority w:val="0"/>
    <w:rPr>
      <w:b/>
      <w:bCs/>
      <w:spacing w:val="15"/>
      <w:sz w:val="19"/>
      <w:szCs w:val="19"/>
    </w:rPr>
  </w:style>
  <w:style w:type="character" w:customStyle="1" w:styleId="17">
    <w:name w:val="title_span"/>
    <w:basedOn w:val="10"/>
    <w:qFormat/>
    <w:uiPriority w:val="0"/>
    <w:rPr>
      <w:b/>
      <w:bCs/>
      <w:spacing w:val="15"/>
      <w:sz w:val="19"/>
      <w:szCs w:val="19"/>
    </w:rPr>
  </w:style>
  <w:style w:type="character" w:customStyle="1" w:styleId="18">
    <w:name w:val="list_more"/>
    <w:basedOn w:val="10"/>
    <w:qFormat/>
    <w:uiPriority w:val="0"/>
    <w:rPr>
      <w:color w:val="000000"/>
    </w:rPr>
  </w:style>
  <w:style w:type="character" w:customStyle="1" w:styleId="19">
    <w:name w:val="wenzib_11"/>
    <w:basedOn w:val="10"/>
    <w:qFormat/>
    <w:uiPriority w:val="0"/>
    <w:rPr>
      <w:b/>
      <w:bCs/>
      <w:color w:val="000099"/>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5891</Words>
  <Characters>6811</Characters>
  <Lines>41</Lines>
  <Paragraphs>11</Paragraphs>
  <TotalTime>23</TotalTime>
  <ScaleCrop>false</ScaleCrop>
  <LinksUpToDate>false</LinksUpToDate>
  <CharactersWithSpaces>6857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sddengrui</dc:creator>
  <cp:lastModifiedBy>Administrator</cp:lastModifiedBy>
  <dcterms:modified xsi:type="dcterms:W3CDTF">2023-12-19T08:08:32Z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B719A19A15994E0DA9496C9E8FE039AF_13</vt:lpwstr>
  </property>
</Properties>
</file>