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消防检测、电气检测及消防安全评估服务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表</w:t>
      </w:r>
    </w:p>
    <w:p>
      <w:pPr>
        <w:snapToGrid w:val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tbl>
      <w:tblPr>
        <w:tblStyle w:val="4"/>
        <w:tblW w:w="13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506"/>
        <w:gridCol w:w="1446"/>
        <w:gridCol w:w="1020"/>
        <w:gridCol w:w="1173"/>
        <w:gridCol w:w="1227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2518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项目名称</w:t>
            </w:r>
          </w:p>
        </w:tc>
        <w:tc>
          <w:tcPr>
            <w:tcW w:w="4506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项目要求</w:t>
            </w:r>
          </w:p>
        </w:tc>
        <w:tc>
          <w:tcPr>
            <w:tcW w:w="1446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服务范围</w:t>
            </w:r>
          </w:p>
        </w:tc>
        <w:tc>
          <w:tcPr>
            <w:tcW w:w="1020" w:type="dxa"/>
            <w:noWrap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工期</w:t>
            </w:r>
          </w:p>
        </w:tc>
        <w:tc>
          <w:tcPr>
            <w:tcW w:w="1173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限价</w:t>
            </w:r>
          </w:p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（万元）</w:t>
            </w:r>
          </w:p>
        </w:tc>
        <w:tc>
          <w:tcPr>
            <w:tcW w:w="1227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报价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eastAsia="zh-CN"/>
              </w:rPr>
              <w:t>（万元）</w:t>
            </w:r>
          </w:p>
        </w:tc>
        <w:tc>
          <w:tcPr>
            <w:tcW w:w="1383" w:type="dxa"/>
            <w:noWrap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  <w:jc w:val="center"/>
        </w:trPr>
        <w:tc>
          <w:tcPr>
            <w:tcW w:w="251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日照市妇幼保健院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消防检测、电气检测及消防安全评估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项目</w:t>
            </w:r>
          </w:p>
        </w:tc>
        <w:tc>
          <w:tcPr>
            <w:tcW w:w="45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strike w:val="0"/>
                <w:dstrike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在规定的工期内，完成现场的检测及评估工作，出具合法、真实、有效的消防设施年度检测报告、电气防火检测报告及消防安全评估报告</w:t>
            </w:r>
            <w:bookmarkStart w:id="0" w:name="_GoBack"/>
            <w:bookmarkEnd w:id="0"/>
          </w:p>
        </w:tc>
        <w:tc>
          <w:tcPr>
            <w:tcW w:w="144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详见附件服务要求</w:t>
            </w:r>
          </w:p>
        </w:tc>
        <w:tc>
          <w:tcPr>
            <w:tcW w:w="102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7天</w:t>
            </w:r>
          </w:p>
        </w:tc>
        <w:tc>
          <w:tcPr>
            <w:tcW w:w="117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4.3万</w:t>
            </w:r>
          </w:p>
        </w:tc>
        <w:tc>
          <w:tcPr>
            <w:tcW w:w="122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8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一次性最低报价</w:t>
            </w:r>
          </w:p>
        </w:tc>
      </w:tr>
    </w:tbl>
    <w:p>
      <w:pPr>
        <w:snapToGrid w:val="0"/>
        <w:spacing w:line="480" w:lineRule="auto"/>
        <w:ind w:firstLine="240" w:firstLineChars="100"/>
        <w:textAlignment w:val="baseline"/>
        <w:rPr>
          <w:rFonts w:hint="eastAsia" w:cs="仿宋_GB2312" w:asciiTheme="minorEastAsia" w:hAnsiTheme="minorEastAsia"/>
          <w:sz w:val="24"/>
          <w:highlight w:val="none"/>
        </w:rPr>
      </w:pPr>
    </w:p>
    <w:p>
      <w:pPr>
        <w:snapToGrid w:val="0"/>
        <w:spacing w:line="480" w:lineRule="auto"/>
        <w:ind w:firstLine="300" w:firstLineChars="100"/>
        <w:textAlignment w:val="baseline"/>
        <w:rPr>
          <w:rFonts w:cs="仿宋_GB2312" w:asciiTheme="minorEastAsia" w:hAnsiTheme="minorEastAsia"/>
          <w:sz w:val="30"/>
          <w:szCs w:val="30"/>
          <w:highlight w:val="none"/>
        </w:rPr>
      </w:pPr>
      <w:r>
        <w:rPr>
          <w:rFonts w:hint="eastAsia" w:cs="仿宋_GB2312" w:asciiTheme="minorEastAsia" w:hAnsiTheme="minorEastAsia"/>
          <w:sz w:val="30"/>
          <w:szCs w:val="30"/>
          <w:highlight w:val="none"/>
          <w:lang w:eastAsia="zh-CN"/>
        </w:rPr>
        <w:t>单位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>名称：</w:t>
      </w:r>
      <w:r>
        <w:rPr>
          <w:rFonts w:hint="eastAsia" w:cs="仿宋_GB2312" w:asciiTheme="minorEastAsia" w:hAnsiTheme="minorEastAsia"/>
          <w:sz w:val="30"/>
          <w:szCs w:val="30"/>
          <w:highlight w:val="none"/>
          <w:lang w:val="en-US" w:eastAsia="zh-CN"/>
        </w:rPr>
        <w:t xml:space="preserve">     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>（盖章）</w:t>
      </w:r>
    </w:p>
    <w:p>
      <w:pPr>
        <w:snapToGrid w:val="0"/>
        <w:spacing w:line="480" w:lineRule="auto"/>
        <w:ind w:firstLine="300" w:firstLineChars="100"/>
        <w:textAlignment w:val="baseline"/>
        <w:rPr>
          <w:rFonts w:cs="仿宋_GB2312" w:asciiTheme="minorEastAsia" w:hAnsiTheme="minorEastAsia"/>
          <w:sz w:val="30"/>
          <w:szCs w:val="30"/>
          <w:highlight w:val="none"/>
        </w:rPr>
      </w:pPr>
      <w:r>
        <w:rPr>
          <w:rFonts w:hint="eastAsia" w:cs="仿宋_GB2312" w:asciiTheme="minorEastAsia" w:hAnsiTheme="minorEastAsia"/>
          <w:bCs/>
          <w:color w:val="000000"/>
          <w:sz w:val="30"/>
          <w:szCs w:val="30"/>
          <w:highlight w:val="none"/>
        </w:rPr>
        <w:t>法定代表人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>或授权代表（签字）：</w:t>
      </w:r>
    </w:p>
    <w:p>
      <w:pPr>
        <w:snapToGrid w:val="0"/>
        <w:spacing w:line="480" w:lineRule="auto"/>
        <w:ind w:firstLine="300" w:firstLineChars="100"/>
        <w:textAlignment w:val="baseline"/>
      </w:pPr>
      <w:r>
        <w:rPr>
          <w:rFonts w:hint="eastAsia" w:cs="仿宋_GB2312" w:asciiTheme="minorEastAsia" w:hAnsiTheme="minorEastAsia"/>
          <w:sz w:val="30"/>
          <w:szCs w:val="30"/>
          <w:highlight w:val="none"/>
        </w:rPr>
        <w:t>日  期</w:t>
      </w:r>
      <w:r>
        <w:rPr>
          <w:rFonts w:hint="eastAsia" w:cs="仿宋_GB2312" w:asciiTheme="minorEastAsia" w:hAnsiTheme="minorEastAsia"/>
          <w:color w:val="000000"/>
          <w:sz w:val="30"/>
          <w:szCs w:val="30"/>
          <w:highlight w:val="none"/>
        </w:rPr>
        <w:t>：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 xml:space="preserve">    年  </w:t>
      </w:r>
      <w:r>
        <w:rPr>
          <w:rFonts w:hint="eastAsia" w:cs="仿宋_GB2312" w:asciiTheme="minorEastAsia" w:hAnsiTheme="minorEastAsia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>月</w:t>
      </w:r>
      <w:r>
        <w:rPr>
          <w:rFonts w:hint="eastAsia" w:cs="仿宋_GB2312" w:asciiTheme="minorEastAsia" w:hAnsiTheme="minorEastAsia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cs="仿宋_GB2312" w:asciiTheme="minorEastAsia" w:hAnsiTheme="minorEastAsia"/>
          <w:sz w:val="30"/>
          <w:szCs w:val="30"/>
          <w:highlight w:val="none"/>
        </w:rPr>
        <w:t xml:space="preserve">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 UI Light">
    <w:altName w:val="Microsoft JhengHei"/>
    <w:panose1 w:val="020B0304030504040204"/>
    <w:charset w:val="88"/>
    <w:family w:val="swiss"/>
    <w:pitch w:val="default"/>
    <w:sig w:usb0="00000000" w:usb1="00000000" w:usb2="00000016" w:usb3="00000000" w:csb0="00100009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OWU5NThmMTAyNGE4MDllNjk1MmJkY2RkODQwZmEifQ=="/>
  </w:docVars>
  <w:rsids>
    <w:rsidRoot w:val="7F9D2B67"/>
    <w:rsid w:val="0BD614F1"/>
    <w:rsid w:val="1A2D591C"/>
    <w:rsid w:val="1C537533"/>
    <w:rsid w:val="2C4915D7"/>
    <w:rsid w:val="46401F61"/>
    <w:rsid w:val="4AF620D7"/>
    <w:rsid w:val="5F0644AB"/>
    <w:rsid w:val="64F05824"/>
    <w:rsid w:val="71677B37"/>
    <w:rsid w:val="76985B23"/>
    <w:rsid w:val="7F9D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13"/>
    </w:pPr>
    <w:rPr>
      <w:rFonts w:ascii="Microsoft JhengHei UI Light" w:hAnsi="Microsoft JhengHei UI Light" w:eastAsia="Microsoft JhengHei UI Light" w:cs="Microsoft JhengHei UI Light"/>
      <w:sz w:val="31"/>
      <w:szCs w:val="31"/>
      <w:lang w:val="zh-CN" w:bidi="zh-C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hint="eastAsia"/>
      <w:sz w:val="24"/>
      <w:szCs w:val="24"/>
    </w:rPr>
  </w:style>
  <w:style w:type="paragraph" w:customStyle="1" w:styleId="6">
    <w:name w:val="BodyText"/>
    <w:basedOn w:val="1"/>
    <w:next w:val="7"/>
    <w:qFormat/>
    <w:uiPriority w:val="0"/>
    <w:pPr>
      <w:jc w:val="both"/>
      <w:textAlignment w:val="baseline"/>
    </w:pPr>
    <w:rPr>
      <w:kern w:val="2"/>
      <w:sz w:val="24"/>
      <w:szCs w:val="24"/>
      <w:lang w:val="en-US" w:eastAsia="zh-CN" w:bidi="ar-SA"/>
    </w:rPr>
  </w:style>
  <w:style w:type="paragraph" w:customStyle="1" w:styleId="7">
    <w:name w:val="UserStyle_2"/>
    <w:next w:val="1"/>
    <w:qFormat/>
    <w:uiPriority w:val="0"/>
    <w:pPr>
      <w:textAlignment w:val="baseline"/>
    </w:pPr>
    <w:rPr>
      <w:rFonts w:ascii="楷体à.ā" w:hAnsi="Calibri" w:eastAsia="楷体à.ā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2023-07-28T01:36:00Z</dcterms:created>
  <dc:creator>一笑而过</dc:creator>
  <cp:lastModifiedBy>一笑而过</cp:lastModifiedBy>
  <dcterms:modified xsi:type="dcterms:W3CDTF">2023-12-01T08:51:10Z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AA6E4B9A4FC24B358199CD5DE1601A3C_12</vt:lpwstr>
  </property>
</Properties>
</file>