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728"/>
        <w:gridCol w:w="7200"/>
      </w:tblGrid>
      <w:tr w:rsidR="00430164" w:rsidTr="00F91348">
        <w:trPr>
          <w:trHeight w:val="568"/>
        </w:trPr>
        <w:tc>
          <w:tcPr>
            <w:tcW w:w="1728" w:type="dxa"/>
            <w:vAlign w:val="center"/>
          </w:tcPr>
          <w:p w:rsidR="00430164" w:rsidRDefault="00430164" w:rsidP="00F91348">
            <w:pPr>
              <w:spacing w:after="156"/>
              <w:jc w:val="both"/>
              <w:rPr>
                <w:rFonts w:ascii="Arial" w:eastAsia="新宋体" w:hAnsi="Arial" w:cs="Arial"/>
              </w:rPr>
            </w:pPr>
            <w:r>
              <w:rPr>
                <w:rFonts w:ascii="Arial" w:eastAsia="新宋体" w:hAnsi="新宋体" w:cs="Arial" w:hint="eastAsia"/>
              </w:rPr>
              <w:t xml:space="preserve">    </w:t>
            </w:r>
            <w:r>
              <w:rPr>
                <w:rFonts w:ascii="Arial" w:eastAsia="新宋体" w:hAnsi="新宋体" w:cs="Arial"/>
              </w:rPr>
              <w:t>序号</w:t>
            </w:r>
          </w:p>
        </w:tc>
        <w:tc>
          <w:tcPr>
            <w:tcW w:w="7200" w:type="dxa"/>
            <w:vAlign w:val="center"/>
          </w:tcPr>
          <w:p w:rsidR="00430164" w:rsidRDefault="00430164" w:rsidP="00430164">
            <w:pPr>
              <w:spacing w:after="156"/>
              <w:ind w:firstLineChars="800" w:firstLine="2240"/>
              <w:rPr>
                <w:rFonts w:ascii="Arial" w:eastAsia="新宋体" w:hAnsi="Arial" w:cs="Arial"/>
                <w:sz w:val="28"/>
                <w:szCs w:val="28"/>
              </w:rPr>
            </w:pPr>
            <w:r>
              <w:rPr>
                <w:rFonts w:ascii="Arial" w:eastAsia="新宋体" w:hAnsi="新宋体" w:cs="Arial"/>
                <w:sz w:val="28"/>
                <w:szCs w:val="28"/>
              </w:rPr>
              <w:t>招</w:t>
            </w:r>
            <w:r>
              <w:rPr>
                <w:rFonts w:ascii="Arial" w:eastAsia="新宋体" w:hAnsi="新宋体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新宋体" w:hAnsi="新宋体" w:cs="Arial"/>
                <w:sz w:val="28"/>
                <w:szCs w:val="28"/>
              </w:rPr>
              <w:t>标</w:t>
            </w:r>
            <w:r>
              <w:rPr>
                <w:rFonts w:ascii="Arial" w:eastAsia="新宋体" w:hAnsi="新宋体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新宋体" w:hAnsi="新宋体" w:cs="Arial"/>
                <w:sz w:val="28"/>
                <w:szCs w:val="28"/>
              </w:rPr>
              <w:t>要</w:t>
            </w:r>
            <w:r>
              <w:rPr>
                <w:rFonts w:ascii="Arial" w:eastAsia="新宋体" w:hAnsi="新宋体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新宋体" w:hAnsi="新宋体" w:cs="Arial"/>
                <w:sz w:val="28"/>
                <w:szCs w:val="28"/>
              </w:rPr>
              <w:t>求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/>
              </w:rPr>
            </w:pPr>
            <w:r>
              <w:rPr>
                <w:rFonts w:ascii="宋体" w:hAnsi="宋体" w:hint="eastAsia"/>
                <w:b/>
                <w:sz w:val="24"/>
              </w:rPr>
              <w:t>一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ascii="Arial" w:eastAsia="新宋体" w:hAnsi="Arial" w:cs="Arial"/>
              </w:rPr>
            </w:pPr>
            <w:r>
              <w:rPr>
                <w:rFonts w:ascii="宋体" w:hAnsi="宋体" w:hint="eastAsia"/>
                <w:b/>
                <w:sz w:val="24"/>
              </w:rPr>
              <w:t>基本要求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/>
              </w:rPr>
            </w:pPr>
            <w:r>
              <w:rPr>
                <w:rFonts w:ascii="新宋体" w:eastAsia="新宋体" w:hAnsi="新宋体" w:cs="Arial" w:hint="eastAsia"/>
              </w:rPr>
              <w:t>1.1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具有国家食品药品监督管理局颁发的</w:t>
            </w:r>
            <w:r>
              <w:rPr>
                <w:b/>
              </w:rPr>
              <w:t>III</w:t>
            </w:r>
            <w:r>
              <w:rPr>
                <w:rFonts w:hint="eastAsia"/>
              </w:rPr>
              <w:t>类医疗器械注册证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rPr>
                <w:rFonts w:ascii="Arial" w:eastAsia="新宋体" w:hAnsi="Arial" w:cs="Arial"/>
              </w:rPr>
            </w:pPr>
            <w:r>
              <w:rPr>
                <w:rFonts w:ascii="宋体" w:hAnsi="宋体" w:hint="eastAsia"/>
                <w:b/>
                <w:sz w:val="24"/>
              </w:rPr>
              <w:t>显示屏幕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宋体" w:hAnsi="宋体" w:cs="Arial"/>
              </w:rPr>
            </w:pPr>
            <w:r>
              <w:rPr>
                <w:rFonts w:ascii="新宋体" w:eastAsia="新宋体" w:hAnsi="新宋体" w:cs="Arial" w:hint="eastAsia"/>
              </w:rPr>
              <w:t>2.1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ascii="Arial" w:eastAsia="新宋体" w:hAnsi="Arial" w:cs="Arial" w:hint="eastAsia"/>
              </w:rPr>
            </w:pPr>
            <w:r>
              <w:rPr>
                <w:rFonts w:hint="eastAsia"/>
              </w:rPr>
              <w:t>≥</w:t>
            </w:r>
            <w:r>
              <w:t>7</w:t>
            </w:r>
            <w:r>
              <w:rPr>
                <w:rFonts w:hint="eastAsia"/>
              </w:rPr>
              <w:t>寸宽屏真彩液晶屏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/>
              </w:rPr>
            </w:pPr>
            <w:r>
              <w:rPr>
                <w:rFonts w:ascii="新宋体" w:eastAsia="新宋体" w:hAnsi="新宋体" w:cs="Arial" w:hint="eastAsia"/>
              </w:rPr>
              <w:t>2.2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ascii="Arial" w:eastAsia="新宋体" w:hAnsi="Arial" w:cs="Arial"/>
                <w:color w:val="000000"/>
              </w:rPr>
            </w:pPr>
            <w:r>
              <w:rPr>
                <w:rFonts w:hint="eastAsia"/>
              </w:rPr>
              <w:t>可显示输出混合气体总流量、笑气和氧气浓度、气源压力、时间、电池电量、报警开（关）状态、混合气体开关状态等各项参数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rPr>
                <w:rFonts w:ascii="Arial" w:eastAsia="新宋体" w:hAnsi="Arial" w:cs="Arial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控制方式及功能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/>
              </w:rPr>
            </w:pPr>
            <w:r>
              <w:rPr>
                <w:rFonts w:ascii="新宋体" w:eastAsia="新宋体" w:hAnsi="新宋体" w:cs="Arial" w:hint="eastAsia"/>
              </w:rPr>
              <w:t>3.1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流量电子式调节控制；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新宋体" w:eastAsia="新宋体" w:hAnsi="新宋体" w:cs="Arial" w:hint="eastAsia"/>
              </w:rPr>
            </w:pPr>
            <w:r>
              <w:rPr>
                <w:rFonts w:ascii="新宋体" w:eastAsia="新宋体" w:hAnsi="新宋体" w:cs="Arial" w:hint="eastAsia"/>
              </w:rPr>
              <w:t>3.1.1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浓度电子式调节控制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新宋体" w:eastAsia="新宋体" w:hAnsi="新宋体" w:cs="Arial" w:hint="eastAsia"/>
              </w:rPr>
            </w:pPr>
            <w:r>
              <w:rPr>
                <w:rFonts w:ascii="新宋体" w:eastAsia="新宋体" w:hAnsi="新宋体" w:cs="Arial" w:hint="eastAsia"/>
              </w:rPr>
              <w:t>3.1.2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工作压力电子检查，并在屏幕上显示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3.2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ascii="Arial" w:eastAsia="新宋体" w:hAnsi="Arial" w:cs="Arial"/>
              </w:rPr>
            </w:pPr>
            <w:r>
              <w:rPr>
                <w:rFonts w:hint="eastAsia"/>
              </w:rPr>
              <w:t>氧气浓度调节范围：</w:t>
            </w:r>
            <w:r>
              <w:t>30%~100%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3.3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ascii="Arial" w:eastAsia="新宋体" w:hAnsi="新宋体" w:cs="Arial" w:hint="eastAsia"/>
              </w:rPr>
            </w:pPr>
            <w:r>
              <w:rPr>
                <w:rFonts w:hint="eastAsia"/>
              </w:rPr>
              <w:t>氧气浓度调节精度：</w:t>
            </w:r>
            <w:r>
              <w:rPr>
                <w:rFonts w:hint="eastAsia"/>
              </w:rPr>
              <w:t>1%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3.4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ascii="Arial" w:eastAsia="新宋体" w:hAnsi="Arial" w:cs="Arial" w:hint="eastAsia"/>
              </w:rPr>
            </w:pPr>
            <w:r>
              <w:rPr>
                <w:rFonts w:hint="eastAsia"/>
              </w:rPr>
              <w:t>笑气浓度调节范围：</w:t>
            </w:r>
            <w:r>
              <w:t>0%~70%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3.5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hint="eastAsia"/>
              </w:rPr>
              <w:t>笑气浓度调节精度：</w:t>
            </w:r>
            <w:r>
              <w:rPr>
                <w:rFonts w:hint="eastAsia"/>
              </w:rPr>
              <w:t>1%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3.6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混合气体流量调节范围：</w:t>
            </w:r>
            <w:r>
              <w:t>0~20L/</w:t>
            </w:r>
            <w:r>
              <w:rPr>
                <w:rFonts w:hint="eastAsia"/>
              </w:rPr>
              <w:t>min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3.7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混合气体流量调节精度：</w:t>
            </w:r>
            <w:r>
              <w:rPr>
                <w:rFonts w:hint="eastAsia"/>
              </w:rPr>
              <w:t>0.1L/min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3.8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有快速紧急供氧按钮，</w:t>
            </w:r>
            <w:r>
              <w:rPr>
                <w:rFonts w:ascii="宋体" w:hAnsi="宋体" w:hint="eastAsia"/>
                <w:szCs w:val="21"/>
              </w:rPr>
              <w:t>按下此键，将供应纯氧气，使病人迅速恢复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3.9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快速紧急供氧流量：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val="pt-PT"/>
              </w:rPr>
              <w:t>25L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val="pt-PT"/>
              </w:rPr>
              <w:t>／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val="pt-PT"/>
              </w:rPr>
              <w:t xml:space="preserve">min 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val="pt-PT"/>
              </w:rPr>
              <w:t>～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val="pt-PT"/>
              </w:rPr>
              <w:t xml:space="preserve"> 75 L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val="pt-PT"/>
              </w:rPr>
              <w:t>／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val="pt-PT"/>
              </w:rPr>
              <w:t>min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3.10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快速供氧时笑气自动截断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3.11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呼吸气囊：有，监测输出气体的流量，保证混合气体的流量适合病人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lastRenderedPageBreak/>
              <w:t>3.12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有气源压力监测功能并在液晶屏上显示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3.13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有中心供氧接口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3.14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具有截流功能：当氧气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笑气供气压力</w:t>
            </w:r>
            <w:r>
              <w:t>&lt;150Kpa</w:t>
            </w:r>
            <w:r>
              <w:rPr>
                <w:rFonts w:hint="eastAsia"/>
              </w:rPr>
              <w:t>时</w:t>
            </w:r>
            <w:r>
              <w:t>,</w:t>
            </w:r>
            <w:r>
              <w:rPr>
                <w:rFonts w:hint="eastAsia"/>
              </w:rPr>
              <w:t>笑气自动切断</w:t>
            </w:r>
            <w:r>
              <w:t>,</w:t>
            </w:r>
            <w:r>
              <w:rPr>
                <w:rFonts w:hint="eastAsia"/>
              </w:rPr>
              <w:t>并报警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3.15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具有非重复呼吸循环系统：在进、出气口部位有单向阀门防止患者重新吸入呼出的气体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3.16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自动空气补偿功能：有，</w:t>
            </w:r>
            <w:r>
              <w:rPr>
                <w:rFonts w:hint="eastAsia"/>
              </w:rPr>
              <w:t>供气不足时自动补偿空气，</w:t>
            </w:r>
            <w:r>
              <w:rPr>
                <w:rFonts w:ascii="宋体" w:hAnsi="宋体" w:hint="eastAsia"/>
                <w:szCs w:val="21"/>
              </w:rPr>
              <w:t>保证任何情况下病人不会“憋气”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3.17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流量自稳功能：有，当改变笑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氧气体比例时保持总流量不变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3.18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笑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氧比例自稳功能：有，当改变输出气体流量大小时保持笑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氧气体比例不变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3.19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流量累计计算功能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3.20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“一键洗肺”功能：有，当治疗结束时按压快捷键直接按原流量对肺泡纯氧冲洗，安全快捷。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rPr>
                <w:rFonts w:ascii="Arial" w:eastAsia="新宋体" w:hAnsi="Arial" w:cs="Arial"/>
              </w:rPr>
            </w:pPr>
            <w:r>
              <w:rPr>
                <w:rFonts w:ascii="宋体" w:hAnsi="宋体" w:hint="eastAsia"/>
                <w:b/>
                <w:sz w:val="24"/>
              </w:rPr>
              <w:t>报警及安全功能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4.1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ascii="Arial" w:eastAsia="新宋体" w:hAnsi="Arial" w:cs="Arial"/>
              </w:rPr>
            </w:pPr>
            <w:r>
              <w:rPr>
                <w:rFonts w:ascii="宋体" w:hAnsi="宋体" w:hint="eastAsia"/>
                <w:szCs w:val="21"/>
              </w:rPr>
              <w:t>有声音和可视报警系统，一旦出现异常情况，可自动报警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4.2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ascii="Arial" w:eastAsia="新宋体" w:hAnsi="新宋体" w:cs="Arial" w:hint="eastAsia"/>
              </w:rPr>
            </w:pPr>
            <w:r>
              <w:rPr>
                <w:rFonts w:ascii="宋体" w:hAnsi="宋体" w:hint="eastAsia"/>
                <w:szCs w:val="21"/>
              </w:rPr>
              <w:t>有气源防误接功能；并且有智能防误接功能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4.3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ascii="Arial" w:eastAsia="新宋体" w:hAnsi="新宋体" w:cs="Arial"/>
              </w:rPr>
            </w:pPr>
            <w:r>
              <w:rPr>
                <w:rFonts w:hint="eastAsia"/>
              </w:rPr>
              <w:t>氧浓度报警：有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Arial" w:eastAsia="新宋体" w:hAnsi="Arial" w:cs="Arial" w:hint="eastAsia"/>
              </w:rPr>
              <w:t>4.4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气源压力报警：有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</w:rPr>
            </w:pPr>
            <w:r>
              <w:rPr>
                <w:rFonts w:ascii="新宋体" w:eastAsia="新宋体" w:hAnsi="新宋体" w:cs="Arial" w:hint="eastAsia"/>
              </w:rPr>
              <w:t>4.5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</w:rPr>
              <w:t>内置锂电池：有，可用</w:t>
            </w:r>
            <w:r>
              <w:t>2</w:t>
            </w:r>
            <w:r>
              <w:rPr>
                <w:rFonts w:hint="eastAsia"/>
              </w:rPr>
              <w:t>小时以上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新宋体" w:eastAsia="新宋体" w:hAnsi="新宋体" w:cs="Arial" w:hint="eastAsia"/>
              </w:rPr>
            </w:pPr>
            <w:r>
              <w:rPr>
                <w:rFonts w:ascii="新宋体" w:eastAsia="新宋体" w:hAnsi="新宋体" w:cs="Arial" w:hint="eastAsia"/>
              </w:rPr>
              <w:t>4.6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便俩用式的安装方式，可以根据医院的实际使用情况用不同的方式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新宋体" w:eastAsia="新宋体" w:hAnsi="新宋体" w:cs="Arial" w:hint="eastAsia"/>
              </w:rPr>
            </w:pPr>
            <w:r>
              <w:rPr>
                <w:rFonts w:ascii="新宋体" w:eastAsia="新宋体" w:hAnsi="新宋体" w:cs="Arial" w:hint="eastAsia"/>
              </w:rPr>
              <w:t>4.7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封闭式气瓶安置机箱，气瓶不外露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  <w:b/>
              </w:rPr>
            </w:pPr>
            <w:r>
              <w:rPr>
                <w:rFonts w:ascii="Arial" w:eastAsia="新宋体" w:hAnsi="Arial" w:cs="Arial" w:hint="eastAsia"/>
                <w:b/>
                <w:sz w:val="24"/>
                <w:szCs w:val="24"/>
              </w:rPr>
              <w:t>五</w:t>
            </w: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软件升级</w:t>
            </w: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  <w:b/>
              </w:rPr>
            </w:pP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430164" w:rsidTr="00F91348">
        <w:trPr>
          <w:trHeight w:val="567"/>
        </w:trPr>
        <w:tc>
          <w:tcPr>
            <w:tcW w:w="1728" w:type="dxa"/>
            <w:vAlign w:val="center"/>
          </w:tcPr>
          <w:p w:rsidR="00430164" w:rsidRDefault="00430164" w:rsidP="00F91348">
            <w:pPr>
              <w:jc w:val="center"/>
              <w:rPr>
                <w:rFonts w:ascii="Arial" w:eastAsia="新宋体" w:hAnsi="Arial" w:cs="Arial" w:hint="eastAsia"/>
                <w:b/>
              </w:rPr>
            </w:pPr>
          </w:p>
        </w:tc>
        <w:tc>
          <w:tcPr>
            <w:tcW w:w="7200" w:type="dxa"/>
            <w:vAlign w:val="center"/>
          </w:tcPr>
          <w:p w:rsidR="00430164" w:rsidRDefault="00430164" w:rsidP="00F91348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B85" w:rsidRDefault="00004B85" w:rsidP="00430164">
      <w:pPr>
        <w:spacing w:after="0"/>
      </w:pPr>
      <w:r>
        <w:separator/>
      </w:r>
    </w:p>
  </w:endnote>
  <w:endnote w:type="continuationSeparator" w:id="0">
    <w:p w:rsidR="00004B85" w:rsidRDefault="00004B85" w:rsidP="0043016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B85" w:rsidRDefault="00004B85" w:rsidP="00430164">
      <w:pPr>
        <w:spacing w:after="0"/>
      </w:pPr>
      <w:r>
        <w:separator/>
      </w:r>
    </w:p>
  </w:footnote>
  <w:footnote w:type="continuationSeparator" w:id="0">
    <w:p w:rsidR="00004B85" w:rsidRDefault="00004B85" w:rsidP="0043016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4B85"/>
    <w:rsid w:val="00323B43"/>
    <w:rsid w:val="003D37D8"/>
    <w:rsid w:val="00426133"/>
    <w:rsid w:val="00430164"/>
    <w:rsid w:val="004358AB"/>
    <w:rsid w:val="0085335F"/>
    <w:rsid w:val="008B7726"/>
    <w:rsid w:val="00BC0BA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01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016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01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016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2021-11-30T05:15:00Z</dcterms:modified>
</cp:coreProperties>
</file>