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20" w:lineRule="exact"/>
        <w:jc w:val="center"/>
        <w:textAlignment w:val="baseline"/>
        <w:rPr>
          <w:rFonts w:hint="eastAsia" w:ascii="宋体" w:hAnsi="宋体" w:eastAsia="宋体"/>
          <w:b/>
          <w:bCs/>
          <w:i w:val="0"/>
          <w:caps w:val="0"/>
          <w:spacing w:val="0"/>
          <w:w w:val="100"/>
          <w:sz w:val="20"/>
          <w:szCs w:val="21"/>
          <w:lang w:eastAsia="zh-CN"/>
        </w:rPr>
      </w:pPr>
      <w:r>
        <w:rPr>
          <w:rFonts w:hint="eastAsia" w:ascii="宋体" w:hAnsi="宋体"/>
          <w:b/>
          <w:bCs/>
          <w:i w:val="0"/>
          <w:caps w:val="0"/>
          <w:spacing w:val="0"/>
          <w:w w:val="100"/>
          <w:sz w:val="21"/>
          <w:szCs w:val="21"/>
        </w:rPr>
        <w:t>血球仪招</w:t>
      </w:r>
      <w:r>
        <w:rPr>
          <w:rFonts w:hint="eastAsia" w:ascii="宋体" w:hAnsi="宋体"/>
          <w:b/>
          <w:bCs/>
          <w:i w:val="0"/>
          <w:caps w:val="0"/>
          <w:spacing w:val="0"/>
          <w:w w:val="100"/>
          <w:sz w:val="21"/>
          <w:szCs w:val="21"/>
          <w:lang w:val="en-US" w:eastAsia="zh-CN"/>
        </w:rPr>
        <w:t>参考技术要求</w:t>
      </w:r>
      <w:bookmarkStart w:id="0" w:name="_GoBack"/>
      <w:bookmarkEnd w:id="0"/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检测原理：采用半导体激光对白细胞进行准确的五分类检测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，采用免疫比浊法检测特定蛋白。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检测参数：≥2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项可报告参数（不含散点图和直方图）；直方图：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包括WBC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直方图、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RBC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直方图、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PLT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直方图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研究参数：≥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项，具有异常淋巴细胞和巨大未成熟细胞报警信息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输出不少于3个散点图，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包括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1个可视可旋转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立体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三维散点图，确保结果准确可靠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检测模式：具有CBC+DIFF+CRP、CBC+DIFF+SAA、CRP、SAA、CRP+SAA、CBC+DIFF+CRP+SAA等不少于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种以上全血检测模式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*仪器功能需求：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一台设备即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可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同时检测血常规五分类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、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CRP及SAA无需联机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*血常规crp联检用血量≤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 xml:space="preserve"> 2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μL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*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进样器容量：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一次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性同时装载≥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60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个样本，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并可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不间断追加样本，提高样本处理能力；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*血常规五分类检测速度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速度：≥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80T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/小时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血样模式：支持静脉全血、末梢全血、预稀释模式等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进样方式：具有自动封闭进样和开放进样两种进样方式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*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携带污染率：WBC≤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0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.5%，RBC≤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0.5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%，HGB≤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0.5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%，HCT≤0.5%，PLT≤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1.0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%，CRP≤0.5%。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试剂加样模块采用精密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注射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器分配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试剂，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避免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使用采样针加样带来的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交叉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污染问题。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hint="eastAsia"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*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五分类线性范围：WBC：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0-500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×10^9/L，PLT：0-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5000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×10^9/L；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CRP线性范围：0.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-3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0mg/L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；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SAA线性范围：3-200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mg/L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血球仪器内置冷藏系统存储CRP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及SAA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试剂，关机后保持冷藏功能。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5" w:hanging="425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采样针有防抵死功能，可以减少堵孔及提高吸样准确性。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6" w:hanging="426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具有可视化监测仪器关键器部件和</w:t>
      </w:r>
      <w:r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  <w:t>自检功能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，能提供一键维护功能：包括更换试剂、液路灌注、排堵、整机清洗、打包、排空、样本池浸泡等操作一键完成。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6" w:hanging="426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质控品和校准品：定期提供原厂配套的高、中、低三个水平的质控品和原厂配套的校准品，并通过CFDA注册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6" w:hanging="426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具有CNAS认可的标准化实验室，能对校准品进行准确的溯源，保证了结果准确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  <w:lang w:eastAsia="zh-CN"/>
        </w:rPr>
        <w:t>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20" w:lineRule="exact"/>
        <w:ind w:left="426" w:hanging="426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  <w:t>采用中文操作系统，可以终生免费升级最新操作系统。</w:t>
      </w:r>
    </w:p>
    <w:p>
      <w:pPr>
        <w:snapToGrid/>
        <w:spacing w:before="0" w:beforeAutospacing="0" w:after="0" w:afterAutospacing="0" w:line="420" w:lineRule="exact"/>
        <w:ind w:left="426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0"/>
          <w:szCs w:val="21"/>
        </w:rPr>
      </w:pPr>
    </w:p>
    <w:p>
      <w:pPr>
        <w:pStyle w:val="26"/>
        <w:widowControl/>
        <w:snapToGrid w:val="0"/>
        <w:spacing w:before="0" w:beforeAutospacing="0" w:after="0" w:afterAutospacing="0" w:line="420" w:lineRule="exact"/>
        <w:ind w:firstLine="210" w:firstLineChars="100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1"/>
          <w:szCs w:val="21"/>
        </w:rPr>
      </w:pPr>
    </w:p>
    <w:sectPr>
      <w:headerReference r:id="rId3" w:type="default"/>
      <w:pgSz w:w="11907" w:h="16840"/>
      <w:pgMar w:top="777" w:right="1275" w:bottom="1440" w:left="170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  <w:jc w:val="both"/>
    </w:pPr>
    <w:r>
      <w:rPr>
        <w:rFonts w:hint="eastAsia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bullet"/>
      <w:pStyle w:val="24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3681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697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ind w:left="846" w:hanging="420"/>
      </w:pPr>
      <w:rPr>
        <w:rFonts w:hint="default"/>
      </w:rPr>
    </w:lvl>
    <w:lvl w:ilvl="3" w:tentative="0">
      <w:start w:val="1"/>
      <w:numFmt w:val="bullet"/>
      <w:lvlText w:val=""/>
      <w:lvlJc w:val="left"/>
      <w:pPr>
        <w:ind w:left="153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95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7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9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21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637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0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color w:val="FF0000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1"/>
  </w:style>
  <w:style w:type="table" w:default="1" w:styleId="1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autoSpaceDE w:val="0"/>
      <w:autoSpaceDN w:val="0"/>
      <w:adjustRightInd w:val="0"/>
    </w:pPr>
    <w:rPr>
      <w:rFonts w:ascii="宋体"/>
      <w:color w:val="000000"/>
      <w:sz w:val="28"/>
    </w:rPr>
  </w:style>
  <w:style w:type="paragraph" w:styleId="7">
    <w:name w:val="Body Text Indent"/>
    <w:basedOn w:val="1"/>
    <w:link w:val="22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Subtitle"/>
    <w:basedOn w:val="1"/>
    <w:next w:val="1"/>
    <w:link w:val="23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段 Char"/>
    <w:link w:val="20"/>
    <w:qFormat/>
    <w:uiPriority w:val="0"/>
    <w:rPr>
      <w:rFonts w:ascii="宋体"/>
      <w:sz w:val="21"/>
      <w:lang w:val="en-US" w:eastAsia="zh-CN" w:bidi="ar-SA"/>
    </w:rPr>
  </w:style>
  <w:style w:type="paragraph" w:customStyle="1" w:styleId="20">
    <w:name w:val="段"/>
    <w:link w:val="19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页眉 Char"/>
    <w:link w:val="10"/>
    <w:qFormat/>
    <w:uiPriority w:val="99"/>
    <w:rPr>
      <w:kern w:val="2"/>
      <w:sz w:val="18"/>
    </w:rPr>
  </w:style>
  <w:style w:type="character" w:customStyle="1" w:styleId="22">
    <w:name w:val="正文文本缩进 Char"/>
    <w:link w:val="7"/>
    <w:qFormat/>
    <w:uiPriority w:val="0"/>
    <w:rPr>
      <w:kern w:val="2"/>
      <w:sz w:val="21"/>
    </w:rPr>
  </w:style>
  <w:style w:type="character" w:customStyle="1" w:styleId="23">
    <w:name w:val="副标题 Char"/>
    <w:link w:val="12"/>
    <w:qFormat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24">
    <w:name w:val="Char"/>
    <w:basedOn w:val="1"/>
    <w:qFormat/>
    <w:uiPriority w:val="0"/>
    <w:pPr>
      <w:numPr>
        <w:ilvl w:val="0"/>
        <w:numId w:val="1"/>
      </w:numPr>
    </w:p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dymind</Company>
  <Pages>1</Pages>
  <Words>685</Words>
  <Characters>835</Characters>
  <Paragraphs>26</Paragraphs>
  <TotalTime>84</TotalTime>
  <ScaleCrop>false</ScaleCrop>
  <LinksUpToDate>false</LinksUpToDate>
  <CharactersWithSpaces>861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2019-12-17T09:02:00Z</dcterms:created>
  <dc:creator>palestrina</dc:creator>
  <cp:lastModifiedBy>Hunterjie</cp:lastModifiedBy>
  <dcterms:modified xsi:type="dcterms:W3CDTF">2021-08-26T11:01:18Z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d13ba7deb56b42648379ae256db39fd6</vt:lpwstr>
  </property>
</Properties>
</file>