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spacing w:before="0" w:after="0" w:line="360" w:lineRule="auto"/>
        <w:jc w:val="both"/>
        <w:rPr>
          <w:rFonts w:ascii="仿宋_GB2312" w:hAnsi="仿宋" w:eastAsia="仿宋_GB2312"/>
          <w:sz w:val="24"/>
          <w:lang w:val="zh-CN"/>
        </w:rPr>
      </w:pPr>
      <w:r>
        <w:rPr>
          <w:rFonts w:ascii="楷体_GB2312" w:eastAsia="楷体_GB2312"/>
          <w:sz w:val="28"/>
          <w:szCs w:val="28"/>
          <w:lang w:val="zh-CN"/>
        </w:rPr>
        <w:t>采购产品详细技术标准和要求</w:t>
      </w:r>
    </w:p>
    <w:p>
      <w:pPr>
        <w:jc w:val="center"/>
        <w:rPr>
          <w:rFonts w:ascii="仿宋_GB2312" w:hAnsi="仿宋" w:eastAsia="仿宋_GB2312"/>
          <w:sz w:val="24"/>
          <w:lang w:val="zh-CN"/>
        </w:rPr>
      </w:pPr>
      <w:r>
        <w:rPr>
          <w:rFonts w:ascii="仿宋_GB2312" w:hAnsi="仿宋" w:eastAsia="仿宋_GB2312"/>
          <w:sz w:val="24"/>
          <w:lang w:val="zh-CN"/>
        </w:rPr>
        <w:t>采购清单</w:t>
      </w:r>
    </w:p>
    <w:tbl>
      <w:tblPr>
        <w:tblStyle w:val="3"/>
        <w:tblW w:w="8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6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47" w:type="dxa"/>
            <w:noWrap w:val="0"/>
            <w:vAlign w:val="top"/>
          </w:tcPr>
          <w:p>
            <w:pPr>
              <w:autoSpaceDE w:val="0"/>
              <w:autoSpaceDN w:val="0"/>
              <w:spacing w:line="360" w:lineRule="auto"/>
              <w:rPr>
                <w:rFonts w:ascii="仿宋_GB2312" w:hAnsi="仿宋" w:eastAsia="仿宋_GB2312"/>
                <w:sz w:val="24"/>
                <w:lang w:val="zh-CN"/>
              </w:rPr>
            </w:pPr>
            <w:r>
              <w:rPr>
                <w:rFonts w:ascii="仿宋_GB2312" w:hAnsi="仿宋" w:eastAsia="仿宋_GB2312"/>
                <w:sz w:val="24"/>
                <w:lang w:val="zh-CN"/>
              </w:rPr>
              <w:t>产品名称</w:t>
            </w:r>
          </w:p>
        </w:tc>
        <w:tc>
          <w:tcPr>
            <w:tcW w:w="6037" w:type="dxa"/>
            <w:noWrap w:val="0"/>
            <w:vAlign w:val="top"/>
          </w:tcPr>
          <w:p>
            <w:pPr>
              <w:spacing w:line="360" w:lineRule="auto"/>
              <w:jc w:val="center"/>
              <w:rPr>
                <w:rFonts w:ascii="仿宋_GB2312" w:hAnsi="仿宋" w:eastAsia="仿宋_GB2312"/>
                <w:sz w:val="24"/>
                <w:lang w:val="zh-CN"/>
              </w:rPr>
            </w:pPr>
            <w:r>
              <w:rPr>
                <w:rFonts w:ascii="仿宋_GB2312" w:hAnsi="仿宋" w:eastAsia="仿宋_GB2312"/>
                <w:sz w:val="24"/>
                <w:lang w:val="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2147" w:type="dxa"/>
            <w:noWrap w:val="0"/>
            <w:vAlign w:val="center"/>
          </w:tcPr>
          <w:p>
            <w:pPr>
              <w:autoSpaceDE w:val="0"/>
              <w:autoSpaceDN w:val="0"/>
              <w:spacing w:line="360" w:lineRule="auto"/>
              <w:jc w:val="center"/>
              <w:rPr>
                <w:rFonts w:ascii="仿宋_GB2312" w:hAnsi="仿宋" w:eastAsia="仿宋_GB2312"/>
                <w:sz w:val="24"/>
                <w:lang w:val="zh-CN"/>
              </w:rPr>
            </w:pPr>
            <w:r>
              <w:rPr>
                <w:rFonts w:ascii="仿宋_GB2312" w:hAnsi="仿宋" w:eastAsia="仿宋_GB2312"/>
                <w:sz w:val="24"/>
                <w:lang w:val="zh-CN"/>
              </w:rPr>
              <w:t>消毒粉</w:t>
            </w:r>
          </w:p>
        </w:tc>
        <w:tc>
          <w:tcPr>
            <w:tcW w:w="6037" w:type="dxa"/>
            <w:noWrap w:val="0"/>
            <w:vAlign w:val="top"/>
          </w:tcPr>
          <w:p>
            <w:pPr>
              <w:numPr>
                <w:ilvl w:val="0"/>
                <w:numId w:val="1"/>
              </w:numPr>
              <w:spacing w:line="360" w:lineRule="auto"/>
              <w:ind w:left="420" w:hanging="420"/>
              <w:rPr>
                <w:rFonts w:ascii="仿宋_GB2312" w:hAnsi="仿宋" w:eastAsia="仿宋_GB2312"/>
                <w:sz w:val="24"/>
                <w:lang w:val="zh-CN"/>
              </w:rPr>
            </w:pPr>
            <w:r>
              <w:rPr>
                <w:rFonts w:ascii="仿宋_GB2312" w:hAnsi="仿宋" w:eastAsia="仿宋_GB2312"/>
                <w:sz w:val="24"/>
                <w:lang w:val="zh-CN"/>
              </w:rPr>
              <w:t>以单过硫酸氢钾复盐为主要原料</w:t>
            </w:r>
          </w:p>
          <w:p>
            <w:pPr>
              <w:numPr>
                <w:ilvl w:val="0"/>
                <w:numId w:val="1"/>
              </w:numPr>
              <w:spacing w:line="360" w:lineRule="auto"/>
              <w:ind w:left="420" w:hanging="420"/>
              <w:rPr>
                <w:rFonts w:ascii="仿宋_GB2312" w:hAnsi="仿宋" w:eastAsia="仿宋_GB2312"/>
                <w:color w:val="000000"/>
                <w:sz w:val="24"/>
                <w:lang w:val="zh-CN"/>
              </w:rPr>
            </w:pPr>
            <w:r>
              <w:rPr>
                <w:rFonts w:ascii="仿宋_GB2312" w:hAnsi="仿宋" w:eastAsia="仿宋_GB2312"/>
                <w:color w:val="000000"/>
                <w:sz w:val="24"/>
                <w:lang w:val="zh-CN"/>
              </w:rPr>
              <w:t>含量：≥18%</w:t>
            </w:r>
          </w:p>
          <w:p>
            <w:pPr>
              <w:numPr>
                <w:ilvl w:val="0"/>
                <w:numId w:val="1"/>
              </w:numPr>
              <w:spacing w:line="360" w:lineRule="auto"/>
              <w:ind w:left="420" w:hanging="420"/>
              <w:rPr>
                <w:rFonts w:ascii="仿宋_GB2312" w:hAnsi="仿宋" w:eastAsia="仿宋_GB2312"/>
                <w:sz w:val="24"/>
                <w:lang w:val="zh-CN"/>
              </w:rPr>
            </w:pPr>
            <w:r>
              <w:rPr>
                <w:rFonts w:ascii="仿宋_GB2312" w:hAnsi="仿宋" w:eastAsia="仿宋_GB2312"/>
                <w:sz w:val="24"/>
                <w:lang w:val="zh-CN"/>
              </w:rPr>
              <w:t>性状：白色粉末状固体，无刺激性气体、气味</w:t>
            </w:r>
          </w:p>
          <w:p>
            <w:pPr>
              <w:numPr>
                <w:ilvl w:val="0"/>
                <w:numId w:val="1"/>
              </w:numPr>
              <w:spacing w:line="360" w:lineRule="auto"/>
              <w:ind w:left="420" w:hanging="420"/>
              <w:rPr>
                <w:rFonts w:ascii="仿宋_GB2312" w:hAnsi="仿宋" w:eastAsia="仿宋_GB2312"/>
                <w:sz w:val="24"/>
                <w:lang w:val="zh-CN"/>
              </w:rPr>
            </w:pPr>
            <w:r>
              <w:rPr>
                <w:rFonts w:ascii="仿宋_GB2312" w:hAnsi="仿宋" w:eastAsia="仿宋_GB2312"/>
                <w:sz w:val="24"/>
                <w:lang w:val="zh-CN"/>
              </w:rPr>
              <w:t>溶解性：易溶于水</w:t>
            </w:r>
          </w:p>
          <w:p>
            <w:pPr>
              <w:numPr>
                <w:ilvl w:val="0"/>
                <w:numId w:val="1"/>
              </w:numPr>
              <w:spacing w:line="360" w:lineRule="auto"/>
              <w:ind w:left="420" w:hanging="420"/>
              <w:rPr>
                <w:rFonts w:ascii="仿宋_GB2312" w:hAnsi="仿宋" w:eastAsia="仿宋_GB2312"/>
                <w:sz w:val="24"/>
                <w:lang w:val="zh-CN"/>
              </w:rPr>
            </w:pPr>
            <w:r>
              <w:rPr>
                <w:rFonts w:ascii="仿宋_GB2312" w:hAnsi="仿宋" w:eastAsia="仿宋_GB2312"/>
                <w:sz w:val="24"/>
                <w:lang w:val="zh-CN"/>
              </w:rPr>
              <w:t>密度：0.75~0.85</w:t>
            </w:r>
          </w:p>
          <w:p>
            <w:pPr>
              <w:numPr>
                <w:ilvl w:val="0"/>
                <w:numId w:val="1"/>
              </w:numPr>
              <w:spacing w:line="360" w:lineRule="auto"/>
              <w:ind w:left="420" w:hanging="420"/>
              <w:rPr>
                <w:rFonts w:ascii="仿宋_GB2312" w:hAnsi="仿宋" w:eastAsia="仿宋_GB2312"/>
                <w:sz w:val="24"/>
                <w:lang w:val="zh-CN"/>
              </w:rPr>
            </w:pPr>
            <w:r>
              <w:rPr>
                <w:rFonts w:ascii="仿宋_GB2312" w:hAnsi="仿宋" w:eastAsia="仿宋_GB2312"/>
                <w:sz w:val="24"/>
                <w:lang w:val="zh-CN"/>
              </w:rPr>
              <w:t>活性：强氧化性过氧化物，细胞壁、细胞质、细胞核三重破坏杀灭作用</w:t>
            </w:r>
          </w:p>
          <w:p>
            <w:pPr>
              <w:numPr>
                <w:ilvl w:val="0"/>
                <w:numId w:val="1"/>
              </w:numPr>
              <w:spacing w:line="360" w:lineRule="auto"/>
              <w:ind w:left="420" w:hanging="420"/>
              <w:rPr>
                <w:rFonts w:ascii="仿宋_GB2312" w:hAnsi="仿宋" w:eastAsia="仿宋_GB2312"/>
                <w:color w:val="000000"/>
                <w:sz w:val="24"/>
                <w:lang w:val="zh-CN"/>
              </w:rPr>
            </w:pPr>
            <w:r>
              <w:rPr>
                <w:rFonts w:ascii="仿宋_GB2312" w:hAnsi="仿宋" w:eastAsia="仿宋_GB2312"/>
                <w:color w:val="000000"/>
                <w:sz w:val="24"/>
                <w:lang w:val="zh-CN"/>
              </w:rPr>
              <w:t>总活性氧含量：≥7.0%</w:t>
            </w:r>
          </w:p>
          <w:p>
            <w:pPr>
              <w:numPr>
                <w:ilvl w:val="0"/>
                <w:numId w:val="1"/>
              </w:numPr>
              <w:spacing w:line="360" w:lineRule="auto"/>
              <w:ind w:left="420" w:hanging="420"/>
              <w:rPr>
                <w:rFonts w:ascii="仿宋_GB2312" w:hAnsi="仿宋" w:eastAsia="仿宋_GB2312"/>
                <w:sz w:val="24"/>
                <w:lang w:val="zh-CN"/>
              </w:rPr>
            </w:pPr>
            <w:r>
              <w:rPr>
                <w:rFonts w:ascii="仿宋_GB2312" w:hAnsi="仿宋" w:eastAsia="仿宋_GB2312"/>
                <w:sz w:val="24"/>
                <w:lang w:val="zh-CN"/>
              </w:rPr>
              <w:t>稳定性：常温贮存24个月</w:t>
            </w:r>
          </w:p>
          <w:p>
            <w:pPr>
              <w:numPr>
                <w:ilvl w:val="0"/>
                <w:numId w:val="1"/>
              </w:numPr>
              <w:spacing w:line="360" w:lineRule="auto"/>
              <w:ind w:left="420" w:hanging="420"/>
              <w:rPr>
                <w:rFonts w:ascii="仿宋_GB2312" w:hAnsi="仿宋" w:eastAsia="仿宋_GB2312"/>
                <w:sz w:val="24"/>
                <w:lang w:val="zh-CN"/>
              </w:rPr>
            </w:pPr>
            <w:r>
              <w:rPr>
                <w:rFonts w:ascii="仿宋_GB2312" w:hAnsi="仿宋" w:eastAsia="仿宋_GB2312"/>
                <w:sz w:val="24"/>
                <w:lang w:val="zh-CN"/>
              </w:rPr>
              <w:t>规格：1KG装。</w:t>
            </w:r>
          </w:p>
        </w:tc>
      </w:tr>
    </w:tbl>
    <w:p>
      <w:pPr>
        <w:spacing w:line="360" w:lineRule="auto"/>
        <w:rPr>
          <w:rFonts w:ascii="仿宋_GB2312" w:hAnsi="仿宋" w:eastAsia="仿宋_GB2312"/>
          <w:sz w:val="24"/>
          <w:lang w:val="zh-CN"/>
        </w:rPr>
      </w:pPr>
      <w:r>
        <w:rPr>
          <w:rFonts w:ascii="仿宋_GB2312" w:hAnsi="仿宋" w:eastAsia="仿宋_GB2312"/>
          <w:sz w:val="24"/>
          <w:lang w:val="zh-CN"/>
        </w:rPr>
        <w:t>采购的具体内容</w:t>
      </w:r>
    </w:p>
    <w:p>
      <w:pPr>
        <w:spacing w:line="360" w:lineRule="auto"/>
        <w:rPr>
          <w:rFonts w:ascii="仿宋_GB2312" w:hAnsi="仿宋" w:eastAsia="仿宋_GB2312"/>
          <w:sz w:val="24"/>
          <w:lang w:val="zh-CN"/>
        </w:rPr>
      </w:pPr>
      <w:r>
        <w:rPr>
          <w:rFonts w:ascii="仿宋_GB2312" w:hAnsi="仿宋" w:eastAsia="仿宋_GB2312"/>
          <w:sz w:val="24"/>
          <w:lang w:val="zh-CN"/>
        </w:rPr>
        <w:t>1、医疗污水消毒药品，以单过硫酸氢钾复盐为主要原料的消毒粉、含量为≥18%。</w:t>
      </w:r>
    </w:p>
    <w:p>
      <w:pPr>
        <w:spacing w:line="360" w:lineRule="auto"/>
        <w:rPr>
          <w:rFonts w:ascii="仿宋_GB2312" w:hAnsi="仿宋" w:eastAsia="仿宋_GB2312"/>
          <w:sz w:val="24"/>
          <w:lang w:val="zh-CN"/>
        </w:rPr>
      </w:pPr>
      <w:r>
        <w:rPr>
          <w:rFonts w:ascii="仿宋_GB2312" w:hAnsi="仿宋" w:eastAsia="仿宋_GB2312"/>
          <w:sz w:val="24"/>
          <w:lang w:val="zh-CN"/>
        </w:rPr>
        <w:t>2、乙方须根据我院消毒粉用量每月及时供货，做好各项售后服务。</w:t>
      </w:r>
    </w:p>
    <w:p>
      <w:pPr>
        <w:spacing w:line="360" w:lineRule="auto"/>
        <w:rPr>
          <w:rFonts w:ascii="仿宋_GB2312" w:hAnsi="仿宋" w:eastAsia="仿宋_GB2312"/>
          <w:sz w:val="24"/>
          <w:lang w:val="zh-CN"/>
        </w:rPr>
      </w:pPr>
      <w:r>
        <w:rPr>
          <w:rFonts w:ascii="仿宋_GB2312" w:hAnsi="仿宋" w:eastAsia="仿宋_GB2312"/>
          <w:sz w:val="24"/>
          <w:lang w:val="zh-CN"/>
        </w:rPr>
        <w:t>3、本次采购的药品为正规厂家生产的合格产品，产品质量必须符合国家相关行业的产品质量标准及要求，能够出具产品合格证明和相关检测报告，必须满足使用单位污水处理需求。</w:t>
      </w:r>
    </w:p>
    <w:p>
      <w:pPr>
        <w:spacing w:line="360" w:lineRule="auto"/>
        <w:rPr>
          <w:rFonts w:ascii="仿宋_GB2312" w:hAnsi="仿宋" w:eastAsia="仿宋_GB2312"/>
          <w:sz w:val="24"/>
          <w:lang w:val="zh-CN"/>
        </w:rPr>
      </w:pPr>
      <w:r>
        <w:rPr>
          <w:rFonts w:ascii="仿宋_GB2312" w:hAnsi="仿宋" w:eastAsia="仿宋_GB2312"/>
          <w:sz w:val="24"/>
          <w:lang w:val="zh-CN"/>
        </w:rPr>
        <w:t>4、保证药品使用单位污水处理排放达标。本次采购的药品必须经国家级卫生行政主管部门批准可用于处理医疗污水，消毒效果符合环保主管部门的各项检测要求。</w:t>
      </w:r>
    </w:p>
    <w:p>
      <w:pPr>
        <w:spacing w:line="360" w:lineRule="auto"/>
        <w:rPr>
          <w:rFonts w:ascii="仿宋_GB2312" w:hAnsi="仿宋" w:eastAsia="仿宋_GB2312"/>
          <w:sz w:val="24"/>
        </w:rPr>
      </w:pPr>
    </w:p>
    <w:p>
      <w:pPr>
        <w:spacing w:line="360" w:lineRule="auto"/>
        <w:rPr>
          <w:rFonts w:ascii="仿宋_GB2312" w:hAnsi="仿宋" w:eastAsia="仿宋_GB2312"/>
          <w:sz w:val="24"/>
        </w:rPr>
      </w:pPr>
      <w:r>
        <w:rPr>
          <w:rFonts w:ascii="仿宋_GB2312" w:hAnsi="仿宋" w:eastAsia="仿宋_GB2312"/>
          <w:sz w:val="24"/>
        </w:rPr>
        <w:t>产品技术要求</w:t>
      </w:r>
    </w:p>
    <w:p>
      <w:pPr>
        <w:spacing w:line="360" w:lineRule="auto"/>
        <w:ind w:firstLine="480" w:firstLineChars="200"/>
        <w:rPr>
          <w:rFonts w:hint="default" w:ascii="仿宋_GB2312" w:hAnsi="仿宋" w:eastAsia="仿宋_GB2312"/>
          <w:sz w:val="24"/>
        </w:rPr>
      </w:pPr>
      <w:r>
        <w:rPr>
          <w:rFonts w:ascii="仿宋_GB2312" w:hAnsi="仿宋" w:eastAsia="仿宋_GB2312"/>
          <w:sz w:val="24"/>
        </w:rPr>
        <w:t>消毒粉是一种活性氧消毒剂，其主要成分是单过硫酸氢钾复合粉，它是由单过硫酸氢钾与硫酸氢钾、硫酸钾结合成的复合盐，分子式为2KHSO5·KHSO4·K2SO4，分子量为614.7。其物理性能如下：</w:t>
      </w:r>
    </w:p>
    <w:p>
      <w:pPr>
        <w:spacing w:line="360" w:lineRule="auto"/>
        <w:ind w:firstLine="480" w:firstLineChars="200"/>
        <w:rPr>
          <w:rFonts w:hint="default" w:ascii="仿宋_GB2312" w:hAnsi="仿宋" w:eastAsia="仿宋_GB2312"/>
          <w:sz w:val="24"/>
        </w:rPr>
      </w:pPr>
      <w:r>
        <w:rPr>
          <w:rFonts w:ascii="仿宋_GB2312" w:hAnsi="仿宋" w:eastAsia="仿宋_GB2312"/>
          <w:sz w:val="24"/>
        </w:rPr>
        <w:t>单过硫酸氢钾单剂吸潮或溶于水中，会迅速分解释放出氧气和硫酸钾，所以复合盐单剂不能直接用于消毒，只能以其为主要活性成分建立一个平衡稳定的系统，提高稳定性，延长有效期。经由系统平衡处理过的单过硫酸氢钾复合粉溶于水后经链式反应连续释放活性氧进而形成羟基自由基、过氧化氢自由基等多种活性成分，不产生有害物质，高效消毒。其氧化能力较强，氧化势能高，超过氯化物、高锰酸钾、过氧化氢等，能够把水中的氯离子氧化为氯气，把醇类、醛类等有机物氧化为有机酸。单过硫酸氢钾标准电极电势为1.82V,高于氯气（1.36V）和二氧化氯（1.50V），低于臭氧（2.07V），既克服了氯气应氧化能力相对较弱、用量大而产生副产物的缺点，也避免了臭氧持续性差的弊端。</w:t>
      </w:r>
    </w:p>
    <w:p>
      <w:pPr>
        <w:spacing w:line="360" w:lineRule="auto"/>
        <w:rPr>
          <w:rFonts w:ascii="仿宋_GB2312" w:hAnsi="仿宋" w:eastAsia="仿宋_GB2312"/>
          <w:sz w:val="24"/>
        </w:rPr>
      </w:pPr>
      <w:bookmarkStart w:id="0" w:name="_Toc424114646"/>
      <w:bookmarkStart w:id="1" w:name="_Toc42764817"/>
      <w:bookmarkStart w:id="2" w:name="_Toc26305"/>
    </w:p>
    <w:p>
      <w:pPr>
        <w:spacing w:line="360" w:lineRule="auto"/>
        <w:rPr>
          <w:rFonts w:ascii="仿宋_GB2312" w:hAnsi="仿宋" w:eastAsia="仿宋_GB2312"/>
          <w:sz w:val="24"/>
        </w:rPr>
      </w:pPr>
      <w:bookmarkStart w:id="3" w:name="_GoBack"/>
      <w:bookmarkEnd w:id="3"/>
      <w:r>
        <w:rPr>
          <w:rFonts w:ascii="仿宋_GB2312" w:hAnsi="仿宋" w:eastAsia="仿宋_GB2312"/>
          <w:sz w:val="24"/>
        </w:rPr>
        <w:t>消毒粉</w:t>
      </w:r>
      <w:bookmarkEnd w:id="0"/>
      <w:bookmarkEnd w:id="1"/>
      <w:bookmarkEnd w:id="2"/>
      <w:r>
        <w:rPr>
          <w:rFonts w:ascii="仿宋_GB2312" w:hAnsi="仿宋" w:eastAsia="仿宋_GB2312"/>
          <w:sz w:val="24"/>
        </w:rPr>
        <w:t>基本要求：</w:t>
      </w:r>
    </w:p>
    <w:p>
      <w:pPr>
        <w:spacing w:line="360" w:lineRule="auto"/>
        <w:rPr>
          <w:rFonts w:ascii="仿宋_GB2312" w:hAnsi="仿宋" w:eastAsia="仿宋_GB2312"/>
          <w:sz w:val="24"/>
        </w:rPr>
      </w:pPr>
      <w:r>
        <w:rPr>
          <w:rFonts w:ascii="仿宋_GB2312" w:hAnsi="仿宋" w:eastAsia="仿宋_GB2312"/>
          <w:sz w:val="24"/>
        </w:rPr>
        <w:t>（1）快速：有效活性成分与水体接触十五分钟就能有效杀菌。</w:t>
      </w:r>
    </w:p>
    <w:p>
      <w:pPr>
        <w:spacing w:line="360" w:lineRule="auto"/>
        <w:rPr>
          <w:rFonts w:ascii="仿宋_GB2312" w:hAnsi="仿宋" w:eastAsia="仿宋_GB2312"/>
          <w:sz w:val="24"/>
        </w:rPr>
      </w:pPr>
      <w:r>
        <w:rPr>
          <w:rFonts w:ascii="仿宋_GB2312" w:hAnsi="仿宋" w:eastAsia="仿宋_GB2312"/>
          <w:sz w:val="24"/>
        </w:rPr>
        <w:t>（2）环保：应为非氯消毒剂，消毒最终代谢产物对人体及环境无害，不产生三氯甲烷及其它有机卤代物，环保健康。</w:t>
      </w:r>
    </w:p>
    <w:p>
      <w:pPr>
        <w:spacing w:line="360" w:lineRule="auto"/>
        <w:rPr>
          <w:rFonts w:ascii="仿宋_GB2312" w:hAnsi="仿宋" w:eastAsia="仿宋_GB2312"/>
          <w:sz w:val="24"/>
        </w:rPr>
      </w:pPr>
      <w:r>
        <w:rPr>
          <w:rFonts w:ascii="仿宋_GB2312" w:hAnsi="仿宋" w:eastAsia="仿宋_GB2312"/>
          <w:sz w:val="24"/>
        </w:rPr>
        <w:t>（3）安全：性质稳定，非危险品，运输、储存、使用安全，不会发生泄漏或爆炸等危险性事件，不需要到公安局或戒毒所办理运输证和使用证。</w:t>
      </w:r>
    </w:p>
    <w:p>
      <w:pPr>
        <w:spacing w:line="360" w:lineRule="auto"/>
        <w:rPr>
          <w:rFonts w:ascii="仿宋_GB2312" w:hAnsi="仿宋" w:eastAsia="仿宋_GB2312"/>
          <w:sz w:val="24"/>
        </w:rPr>
      </w:pPr>
      <w:r>
        <w:rPr>
          <w:rFonts w:ascii="仿宋_GB2312" w:hAnsi="仿宋" w:eastAsia="仿宋_GB2312"/>
          <w:sz w:val="24"/>
        </w:rPr>
        <w:t>（4）高效：水中的溶解、扩散速度应比氯消毒剂快，如采取技术措施增强消毒效果，可附加说明并提供有关证据，如第三方的认证等。</w:t>
      </w:r>
    </w:p>
    <w:p>
      <w:pPr>
        <w:spacing w:line="360" w:lineRule="auto"/>
        <w:rPr>
          <w:rFonts w:ascii="仿宋_GB2312" w:hAnsi="仿宋" w:eastAsia="仿宋_GB2312"/>
          <w:sz w:val="24"/>
        </w:rPr>
      </w:pPr>
      <w:r>
        <w:rPr>
          <w:rFonts w:ascii="仿宋_GB2312" w:hAnsi="仿宋" w:eastAsia="仿宋_GB2312"/>
          <w:sz w:val="24"/>
        </w:rPr>
        <w:t>（5）广谱：应对水中的病原微生物，包括粪大肠菌群，病毒、细菌芽孢、硫酸盐还原菌及真菌等均有很高的杀灭作用，还应具有很强的脱色、除臭、灭藻作用。对铁、锰、硫化物、氰化物、苯酚、有机物等具有很强的氧化作用，可以清除水中的有机物。</w:t>
      </w:r>
    </w:p>
    <w:p>
      <w:pPr>
        <w:spacing w:line="360" w:lineRule="auto"/>
        <w:rPr>
          <w:rFonts w:ascii="仿宋_GB2312" w:hAnsi="仿宋" w:eastAsia="仿宋_GB2312"/>
          <w:sz w:val="24"/>
        </w:rPr>
      </w:pPr>
      <w:r>
        <w:rPr>
          <w:rFonts w:ascii="仿宋_GB2312" w:hAnsi="仿宋" w:eastAsia="仿宋_GB2312"/>
          <w:sz w:val="24"/>
        </w:rPr>
        <w:t>（6）持久：持续释放活性氧，长效达72小时杀菌。</w:t>
      </w:r>
    </w:p>
    <w:p>
      <w:pPr>
        <w:spacing w:line="360" w:lineRule="auto"/>
        <w:rPr>
          <w:rFonts w:ascii="仿宋_GB2312" w:hAnsi="仿宋" w:eastAsia="仿宋_GB2312"/>
          <w:sz w:val="24"/>
        </w:rPr>
      </w:pPr>
      <w:r>
        <w:rPr>
          <w:rFonts w:ascii="仿宋_GB2312" w:hAnsi="仿宋" w:eastAsia="仿宋_GB2312"/>
          <w:sz w:val="24"/>
        </w:rPr>
        <w:t>（7）方便：配套或改造的投加设备，操作简单，全自动设计，一次按键即可完成操作，可提高工作人员的依从性。配套的活性氧检测仪，在数秒钟准确测出活性氧含量，可快速检测消毒合格指标。药剂储存只需很小空间，且不需特殊储存条件。</w:t>
      </w:r>
    </w:p>
    <w:p>
      <w:r>
        <w:rPr>
          <w:rFonts w:ascii="仿宋_GB2312" w:hAnsi="仿宋" w:eastAsia="仿宋_GB2312"/>
          <w:sz w:val="24"/>
        </w:rPr>
        <w:t>（8）符合安全和环保要求：不会造成余氯超标，不会造成非法购进危险品和易制毒品的责任和风险。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B16AD"/>
    <w:multiLevelType w:val="singleLevel"/>
    <w:tmpl w:val="13EB16A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23522"/>
    <w:rsid w:val="2832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hint="eastAsia" w:ascii="Times New Roman" w:hAnsi="Times New Roman" w:eastAsia="宋体" w:cs="Times New Roman"/>
      <w:kern w:val="2"/>
      <w:sz w:val="21"/>
      <w:lang w:val="en-US" w:eastAsia="zh-CN" w:bidi="ar-SA"/>
    </w:rPr>
  </w:style>
  <w:style w:type="paragraph" w:styleId="2">
    <w:name w:val="heading 2"/>
    <w:basedOn w:val="1"/>
    <w:next w:val="1"/>
    <w:qFormat/>
    <w:uiPriority w:val="99"/>
    <w:pPr>
      <w:keepNext/>
      <w:keepLines/>
      <w:spacing w:before="260" w:beforeLines="0" w:after="260" w:afterLines="0" w:line="415" w:lineRule="auto"/>
      <w:jc w:val="center"/>
      <w:outlineLvl w:val="1"/>
    </w:pPr>
    <w:rPr>
      <w:rFonts w:hint="eastAsia" w:ascii="Arial" w:hAnsi="Arial" w:eastAsia="黑体"/>
      <w:sz w:val="8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2020-09-09T05:47:00Z</dcterms:created>
  <dc:creator>滕呵呵</dc:creator>
  <cp:lastModifiedBy>滕呵呵</cp:lastModifiedBy>
  <dcterms:modified xsi:type="dcterms:W3CDTF">2020-09-09T05:53:32Z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