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“反统方”设备</w:t>
      </w:r>
      <w:r>
        <w:rPr>
          <w:rFonts w:hint="eastAsia"/>
          <w:b/>
          <w:bCs/>
          <w:sz w:val="36"/>
          <w:szCs w:val="36"/>
        </w:rPr>
        <w:t>技术要求</w:t>
      </w:r>
    </w:p>
    <w:p>
      <w:pPr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 xml:space="preserve">    </w:t>
      </w:r>
    </w:p>
    <w:p>
      <w:pPr>
        <w:pStyle w:val="8"/>
        <w:numPr>
          <w:ilvl w:val="0"/>
          <w:numId w:val="1"/>
        </w:numPr>
        <w:spacing w:line="276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产品规格</w:t>
      </w:r>
      <w:r>
        <w:rPr>
          <w:rFonts w:ascii="宋体" w:hAnsi="宋体"/>
          <w:sz w:val="24"/>
          <w:szCs w:val="24"/>
        </w:rPr>
        <w:t>要求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</w:t>
      </w:r>
      <w:r>
        <w:rPr>
          <w:rFonts w:hint="eastAsia" w:ascii="宋体" w:hAnsi="宋体"/>
          <w:sz w:val="24"/>
          <w:szCs w:val="24"/>
        </w:rPr>
        <w:t>1U机架式；CPU处理器Intel I5系列 四核四线程 主频高于3.0GHz；内存</w:t>
      </w:r>
      <w:r>
        <w:rPr>
          <w:rFonts w:ascii="宋体" w:hAnsi="宋体"/>
          <w:sz w:val="24"/>
          <w:szCs w:val="24"/>
        </w:rPr>
        <w:t>不低于</w:t>
      </w:r>
      <w:r>
        <w:rPr>
          <w:rFonts w:hint="eastAsia" w:ascii="宋体" w:hAnsi="宋体"/>
          <w:sz w:val="24"/>
          <w:szCs w:val="24"/>
        </w:rPr>
        <w:t>16G DDR3；存储空间</w:t>
      </w:r>
      <w:r>
        <w:rPr>
          <w:rFonts w:ascii="宋体" w:hAnsi="宋体"/>
          <w:sz w:val="24"/>
          <w:szCs w:val="24"/>
        </w:rPr>
        <w:t>不低于2</w:t>
      </w:r>
      <w:r>
        <w:rPr>
          <w:rFonts w:hint="eastAsia" w:ascii="宋体" w:hAnsi="宋体"/>
          <w:sz w:val="24"/>
          <w:szCs w:val="24"/>
        </w:rPr>
        <w:t>T SATA盘、128G 固态盘SSD；网口</w:t>
      </w:r>
      <w:r>
        <w:rPr>
          <w:rFonts w:ascii="宋体" w:hAnsi="宋体"/>
          <w:sz w:val="24"/>
          <w:szCs w:val="24"/>
        </w:rPr>
        <w:t>不</w:t>
      </w:r>
      <w:r>
        <w:rPr>
          <w:rFonts w:hint="eastAsia" w:ascii="宋体" w:hAnsi="宋体"/>
          <w:sz w:val="24"/>
          <w:szCs w:val="24"/>
        </w:rPr>
        <w:t>少于6个电口；2组bypass，一年7*24小时标准服务。</w:t>
      </w:r>
    </w:p>
    <w:p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二</w:t>
      </w:r>
      <w:r>
        <w:rPr>
          <w:rFonts w:hint="eastAsia" w:ascii="宋体" w:hAnsi="宋体"/>
          <w:sz w:val="24"/>
          <w:szCs w:val="24"/>
        </w:rPr>
        <w:t>、功能要求：</w:t>
      </w:r>
    </w:p>
    <w:p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1、防统方系统管理服务控制台,以Web方式提供访问。配置统方数据库行为审计模块，实时获取操作系统内存段的获取方式。</w:t>
      </w:r>
    </w:p>
    <w:p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2、★敏感数据分类和管理：通过防统方系统可以自定义敏感数据（包含处方数据</w:t>
      </w:r>
      <w:r>
        <w:rPr>
          <w:rFonts w:ascii="宋体" w:hAnsi="宋体"/>
          <w:sz w:val="24"/>
          <w:szCs w:val="24"/>
        </w:rPr>
        <w:t>）</w:t>
      </w:r>
      <w:r>
        <w:rPr>
          <w:rFonts w:hint="eastAsia" w:ascii="宋体" w:hAnsi="宋体"/>
          <w:sz w:val="24"/>
          <w:szCs w:val="24"/>
        </w:rPr>
        <w:t>范围，可在表级和列级两个粒度进行配置，多个</w:t>
      </w:r>
      <w:r>
        <w:rPr>
          <w:rFonts w:ascii="宋体" w:hAnsi="宋体"/>
          <w:sz w:val="24"/>
          <w:szCs w:val="24"/>
        </w:rPr>
        <w:t>数据</w:t>
      </w:r>
      <w:r>
        <w:rPr>
          <w:rFonts w:hint="eastAsia" w:ascii="宋体" w:hAnsi="宋体"/>
          <w:sz w:val="24"/>
          <w:szCs w:val="24"/>
        </w:rPr>
        <w:t>表格归类成为敏感数据集合，进行独立安全管理；敏感数据集合具有敏感标签定义，</w:t>
      </w:r>
      <w:r>
        <w:rPr>
          <w:rFonts w:ascii="宋体" w:hAnsi="宋体"/>
          <w:sz w:val="24"/>
          <w:szCs w:val="24"/>
        </w:rPr>
        <w:t>并且给</w:t>
      </w:r>
      <w:r>
        <w:rPr>
          <w:rFonts w:hint="eastAsia" w:ascii="宋体" w:hAnsi="宋体"/>
          <w:sz w:val="24"/>
          <w:szCs w:val="24"/>
        </w:rPr>
        <w:t>敏感数据集合分配一个具有多维身份标签的管理者；敏感数据集合可以设置行为属性，访问规则以及合规操作；</w:t>
      </w:r>
    </w:p>
    <w:p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3、★脱离密码的登录保护机制：通过防统方系统可以实现多维身份管理，至少支持应用程序名，ip地址，主机名，操作系统账户，数据库账户，时间等作为一个身份的不同要素</w:t>
      </w:r>
      <w:r>
        <w:rPr>
          <w:rFonts w:ascii="宋体" w:hAnsi="宋体"/>
          <w:sz w:val="24"/>
          <w:szCs w:val="24"/>
        </w:rPr>
        <w:t>组成</w:t>
      </w:r>
      <w:r>
        <w:rPr>
          <w:rFonts w:hint="eastAsia" w:ascii="宋体" w:hAnsi="宋体"/>
          <w:sz w:val="24"/>
          <w:szCs w:val="24"/>
        </w:rPr>
        <w:t>部分</w:t>
      </w:r>
      <w:r>
        <w:rPr>
          <w:rFonts w:ascii="宋体" w:hAnsi="宋体"/>
          <w:sz w:val="24"/>
          <w:szCs w:val="24"/>
        </w:rPr>
        <w:t>。</w:t>
      </w:r>
      <w:r>
        <w:rPr>
          <w:rFonts w:hint="eastAsia" w:ascii="宋体" w:hAnsi="宋体"/>
          <w:sz w:val="24"/>
          <w:szCs w:val="24"/>
        </w:rPr>
        <w:t>应用程序名，ip地址，主机名，操作系统账户，数据库账户，时间等要素可以进行任意组合，并形成新的高级身份。(投标</w:t>
      </w:r>
      <w:r>
        <w:rPr>
          <w:rFonts w:ascii="宋体" w:hAnsi="宋体"/>
          <w:sz w:val="24"/>
          <w:szCs w:val="24"/>
        </w:rPr>
        <w:t>时要求提供软件功能截图</w:t>
      </w:r>
      <w:r>
        <w:rPr>
          <w:rFonts w:hint="eastAsia" w:ascii="宋体" w:hAnsi="宋体"/>
          <w:sz w:val="24"/>
          <w:szCs w:val="24"/>
        </w:rPr>
        <w:t>)；</w:t>
      </w:r>
    </w:p>
    <w:p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4、★规则库配置：要求防统方系统支持规则库配置，可以配置各种规则以满足按需鉴别，可以自定义认证因子，自定义认证规则。(投标</w:t>
      </w:r>
      <w:r>
        <w:rPr>
          <w:rFonts w:ascii="宋体" w:hAnsi="宋体"/>
          <w:sz w:val="24"/>
          <w:szCs w:val="24"/>
        </w:rPr>
        <w:t>时要求提供软件功能截图</w:t>
      </w:r>
      <w:r>
        <w:rPr>
          <w:rFonts w:hint="eastAsia" w:ascii="宋体" w:hAnsi="宋体"/>
          <w:sz w:val="24"/>
          <w:szCs w:val="24"/>
        </w:rPr>
        <w:t>)</w:t>
      </w:r>
    </w:p>
    <w:p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5、不改动应用程序：加载防统方系统后，不需要改变现有应用程序和数据库的设计，无需改变应用程序代码，无需应用做二次开发，编写接口等。</w:t>
      </w:r>
    </w:p>
    <w:p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6</w:t>
      </w:r>
      <w:r>
        <w:rPr>
          <w:rFonts w:hint="eastAsia" w:ascii="宋体" w:hAnsi="宋体"/>
          <w:sz w:val="24"/>
          <w:szCs w:val="24"/>
        </w:rPr>
        <w:t>、支持加密链路访问控制和审计：支持加密链路的访问控制和审计，而且在加密链路上不增加任何中间设备，以防止破坏链路的安全性。</w:t>
      </w:r>
    </w:p>
    <w:p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7</w:t>
      </w:r>
      <w:r>
        <w:rPr>
          <w:rFonts w:hint="eastAsia" w:ascii="宋体" w:hAnsi="宋体"/>
          <w:sz w:val="24"/>
          <w:szCs w:val="24"/>
        </w:rPr>
        <w:t>、响应机制：支持学习模式、激活模式和模拟模式等多种模式。学习模式运行，支持SQL的自学习，识别安全SQL；模拟模式运行，可以提升安全策略准确性，避免对生产库的影响（提供功能截图证明）</w:t>
      </w:r>
    </w:p>
    <w:p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8、登录管理: 支持U盾及软证书等方式进行证书登陆验证，从而对自然人进行识别和控制，可以为相关人员分为唯一的数字证书，实现对自然人的唯一验证，实现登陆过程不可抵赖.</w:t>
      </w:r>
    </w:p>
    <w:p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9、认证平台旁路特性: 要求防统方系统无法被旁路，可以保护来自于各条链路的连接认证。至少应该包括以下部分：通过Listener进行连接，通过IPC直接连接，通过db-link进行连接等各种登陆方式。</w:t>
      </w:r>
    </w:p>
    <w:p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0</w:t>
      </w:r>
      <w:r>
        <w:rPr>
          <w:rFonts w:hint="eastAsia" w:ascii="宋体" w:hAnsi="宋体"/>
          <w:sz w:val="24"/>
          <w:szCs w:val="24"/>
        </w:rPr>
        <w:t>、全方位审计: 以下事件</w:t>
      </w:r>
      <w:r>
        <w:rPr>
          <w:rFonts w:ascii="宋体" w:hAnsi="宋体"/>
          <w:sz w:val="24"/>
          <w:szCs w:val="24"/>
        </w:rPr>
        <w:t>都不可被旁路，包括：</w:t>
      </w:r>
      <w:r>
        <w:rPr>
          <w:rFonts w:hint="eastAsia" w:ascii="宋体" w:hAnsi="宋体"/>
          <w:sz w:val="24"/>
          <w:szCs w:val="24"/>
        </w:rPr>
        <w:t>来自于网络的安全访问事件审计；来自于数据库主机以及其他信任主机的安全访问事件审计；来自于数据库内部的安全访问事件审计；来自于数据库之间的安全访问事件审计；</w:t>
      </w:r>
    </w:p>
    <w:p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、事件查询和搜索: 以搜索引擎条的方式进行搜索，提供类似于百度，谷歌的搜索方式以方便使用；提供高级搜索，进行精确匹配搜索；提供搜索注册功能，方便下次使用。</w:t>
      </w:r>
    </w:p>
    <w:p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、★订阅和告警: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安全告警必须支持基于订阅的模式，每个人可以订阅自己的安全告警事件，安全告警事件发送支持短信、邮件以及页面。页面的安全告警事件必须区分开当前30分钟的安全告警事件和过去的安全事件以方便运维监控</w:t>
      </w:r>
      <w:r>
        <w:rPr>
          <w:rFonts w:ascii="宋体" w:hAnsi="宋体"/>
          <w:sz w:val="24"/>
          <w:szCs w:val="24"/>
        </w:rPr>
        <w:t>。</w:t>
      </w:r>
      <w:r>
        <w:rPr>
          <w:rFonts w:hint="eastAsia" w:ascii="宋体" w:hAnsi="宋体"/>
          <w:sz w:val="24"/>
          <w:szCs w:val="24"/>
        </w:rPr>
        <w:t>支持任意组合的规则订阅，</w:t>
      </w:r>
      <w:r>
        <w:rPr>
          <w:rFonts w:ascii="宋体" w:hAnsi="宋体"/>
          <w:sz w:val="24"/>
          <w:szCs w:val="24"/>
        </w:rPr>
        <w:t>实现</w:t>
      </w:r>
      <w:r>
        <w:rPr>
          <w:rFonts w:hint="eastAsia" w:ascii="宋体" w:hAnsi="宋体"/>
          <w:sz w:val="24"/>
          <w:szCs w:val="24"/>
        </w:rPr>
        <w:t>人员</w:t>
      </w:r>
      <w:r>
        <w:rPr>
          <w:rFonts w:ascii="宋体" w:hAnsi="宋体"/>
          <w:sz w:val="24"/>
          <w:szCs w:val="24"/>
        </w:rPr>
        <w:t>的个性化订阅管理。</w:t>
      </w:r>
    </w:p>
    <w:p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</w:rPr>
        <w:t>、★SQL语句翻译: SQL语句提供直译和意译的不同翻译引擎，</w:t>
      </w:r>
      <w:r>
        <w:rPr>
          <w:rFonts w:ascii="宋体" w:hAnsi="宋体"/>
          <w:sz w:val="24"/>
          <w:szCs w:val="24"/>
        </w:rPr>
        <w:t>从</w:t>
      </w:r>
      <w:r>
        <w:rPr>
          <w:rFonts w:hint="eastAsia" w:ascii="宋体" w:hAnsi="宋体"/>
          <w:sz w:val="24"/>
          <w:szCs w:val="24"/>
        </w:rPr>
        <w:t>英文翻译成中文，增加阅读性直观性</w:t>
      </w:r>
      <w:r>
        <w:rPr>
          <w:rFonts w:ascii="宋体" w:hAnsi="宋体"/>
          <w:sz w:val="24"/>
          <w:szCs w:val="24"/>
        </w:rPr>
        <w:t>；</w:t>
      </w:r>
      <w:r>
        <w:rPr>
          <w:rFonts w:hint="eastAsia" w:ascii="宋体" w:hAnsi="宋体"/>
          <w:sz w:val="24"/>
          <w:szCs w:val="24"/>
        </w:rPr>
        <w:t>(投标</w:t>
      </w:r>
      <w:r>
        <w:rPr>
          <w:rFonts w:ascii="宋体" w:hAnsi="宋体"/>
          <w:sz w:val="24"/>
          <w:szCs w:val="24"/>
        </w:rPr>
        <w:t>时要求提供软件功能截图</w:t>
      </w:r>
      <w:r>
        <w:rPr>
          <w:rFonts w:hint="eastAsia" w:ascii="宋体" w:hAnsi="宋体"/>
          <w:sz w:val="24"/>
          <w:szCs w:val="24"/>
        </w:rPr>
        <w:t>)</w:t>
      </w:r>
    </w:p>
    <w:p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三、产品资质:</w:t>
      </w:r>
      <w:r>
        <w:rPr>
          <w:rFonts w:ascii="宋体" w:hAnsi="宋体"/>
          <w:sz w:val="24"/>
          <w:szCs w:val="24"/>
        </w:rPr>
        <w:br w:type="textWrapping"/>
      </w:r>
      <w:r>
        <w:rPr>
          <w:rFonts w:ascii="宋体" w:hAnsi="宋体"/>
          <w:sz w:val="24"/>
          <w:szCs w:val="24"/>
        </w:rPr>
        <w:t>1、 所投产品应</w:t>
      </w:r>
      <w:r>
        <w:rPr>
          <w:rFonts w:hint="eastAsia" w:ascii="宋体" w:hAnsi="宋体"/>
          <w:sz w:val="24"/>
          <w:szCs w:val="24"/>
        </w:rPr>
        <w:t>具有国家版权局颁发的《计算机软件著作权登记证书》、具备公安部颁发的《计算机信息系统安全专用产品销售许可证》、具备ISCCC信息安全认证中心颁发的《中国国家信息安全产品认证证书》;</w:t>
      </w:r>
    </w:p>
    <w:p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</w:t>
      </w:r>
      <w:r>
        <w:rPr>
          <w:rFonts w:ascii="宋体" w:hAnsi="宋体"/>
          <w:sz w:val="24"/>
          <w:szCs w:val="24"/>
        </w:rPr>
        <w:t>所投产品</w:t>
      </w:r>
      <w:r>
        <w:rPr>
          <w:rFonts w:hint="eastAsia" w:ascii="宋体" w:hAnsi="宋体"/>
          <w:sz w:val="24"/>
          <w:szCs w:val="24"/>
        </w:rPr>
        <w:t>原厂商应具备ISO</w:t>
      </w:r>
      <w:r>
        <w:rPr>
          <w:rFonts w:ascii="宋体" w:hAnsi="宋体"/>
          <w:sz w:val="24"/>
          <w:szCs w:val="24"/>
        </w:rPr>
        <w:t>9001</w:t>
      </w:r>
      <w:r>
        <w:rPr>
          <w:rFonts w:hint="eastAsia" w:ascii="宋体" w:hAnsi="宋体"/>
          <w:sz w:val="24"/>
          <w:szCs w:val="24"/>
        </w:rPr>
        <w:t>、ISO</w:t>
      </w:r>
      <w:r>
        <w:rPr>
          <w:rFonts w:ascii="宋体" w:hAnsi="宋体"/>
          <w:sz w:val="24"/>
          <w:szCs w:val="24"/>
        </w:rPr>
        <w:t>27001</w:t>
      </w:r>
      <w:r>
        <w:rPr>
          <w:rFonts w:hint="eastAsia" w:ascii="宋体" w:hAnsi="宋体"/>
          <w:sz w:val="24"/>
          <w:szCs w:val="24"/>
        </w:rPr>
        <w:t>、ISO</w:t>
      </w:r>
      <w:r>
        <w:rPr>
          <w:rFonts w:ascii="宋体" w:hAnsi="宋体"/>
          <w:sz w:val="24"/>
          <w:szCs w:val="24"/>
        </w:rPr>
        <w:t>20000</w:t>
      </w:r>
      <w:r>
        <w:rPr>
          <w:rFonts w:hint="eastAsia" w:ascii="宋体" w:hAnsi="宋体"/>
          <w:sz w:val="24"/>
          <w:szCs w:val="24"/>
        </w:rPr>
        <w:t>认证并且具备Oracle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OPN证书。</w:t>
      </w:r>
    </w:p>
    <w:p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3、实施要求: 要求实施工程师具有OCP和CISP认证证书。</w:t>
      </w:r>
    </w:p>
    <w:p/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21218"/>
    <w:multiLevelType w:val="multilevel"/>
    <w:tmpl w:val="50521218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6013"/>
    <w:rsid w:val="00386013"/>
    <w:rsid w:val="00E36F11"/>
    <w:rsid w:val="6395114F"/>
    <w:rsid w:val="78D1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10</Words>
  <Characters>61</Characters>
  <Lines>1</Lines>
  <Paragraphs>1</Paragraphs>
  <TotalTime>1</TotalTime>
  <ScaleCrop>false</ScaleCrop>
  <LinksUpToDate>false</LinksUpToDate>
  <CharactersWithSpaces>70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2019-08-29T01:48:00Z</dcterms:created>
  <dc:creator>China</dc:creator>
  <cp:lastModifiedBy>Administrator</cp:lastModifiedBy>
  <dcterms:modified xsi:type="dcterms:W3CDTF">2019-12-18T02:34:16Z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